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Borough Council — Grounds Maintenance ITT</w:t>
      </w:r>
    </w:p>
    <w:p>
      <w:pPr>
        <w:pStyle w:val="Heading2"/>
      </w:pPr>
      <w:r>
        <w:t>Return Forms and Selection Requirements</w:t>
      </w:r>
    </w:p>
    <w:p>
      <w:r>
        <w:t>This Word document is one part of the tender pack. It must be completed and returned alongside the main ITT (PDF) and the pricing schedule (Excel).</w:t>
      </w:r>
    </w:p>
    <w:p>
      <w:pPr>
        <w:pStyle w:val="Heading3"/>
      </w:pPr>
      <w:r>
        <w:t>Section A — Submission</w:t>
      </w:r>
    </w:p>
    <w:p>
      <w:r>
        <w:t>Tenders must be received no later than 12:00 noon on 30 September 2025. Late tenders will be rejected and will not be considered.</w:t>
      </w:r>
    </w:p>
    <w:p>
      <w:pPr>
        <w:pStyle w:val="Heading3"/>
      </w:pPr>
      <w:r>
        <w:t>Section B — Mandatory Requirements (Pass/Fail)</w:t>
      </w:r>
    </w:p>
    <w:p>
      <w:r>
        <w:t>The tenderer must hold Employer's Liability insurance of at least £5,000,000. This is assessed on a Pass/Fail basis; a Fail eliminates the bid.</w:t>
      </w:r>
    </w:p>
    <w:p>
      <w:r>
        <w:t>The tenderer must hold Public Liability insurance of at least £10,000,000 (Pass/Fail).</w:t>
      </w:r>
    </w:p>
    <w:p>
      <w:pPr>
        <w:pStyle w:val="Heading3"/>
      </w:pPr>
      <w:r>
        <w:t>Section C — Form of Tender</w:t>
      </w:r>
    </w:p>
    <w:p>
      <w:r>
        <w:t>The Form of Tender must be completed, signed and returned with the submission. Failure to sign and return the Form of Tender will render the bid non-compliant and the tender will be disqualified.</w:t>
      </w:r>
    </w:p>
    <w:p>
      <w:r>
        <w:t>The tenderer should provide two client references from similar contracts (optional but scored).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