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AD6C" w14:textId="28E93214" w:rsidR="00833A16" w:rsidRPr="00833A16" w:rsidRDefault="00833A16" w:rsidP="00833A16">
      <w:pPr>
        <w:rPr>
          <w:b/>
          <w:bCs/>
          <w:color w:val="EE0000"/>
          <w:sz w:val="24"/>
          <w:szCs w:val="24"/>
        </w:rPr>
      </w:pPr>
      <w:r w:rsidRPr="00833A16">
        <w:rPr>
          <w:b/>
          <w:bCs/>
          <w:color w:val="EE0000"/>
          <w:sz w:val="24"/>
          <w:szCs w:val="24"/>
        </w:rPr>
        <w:t>ANÁLISE CAFÉ (PORQUE FINMIND INDICA BAIXA E O CAFÉ ESTÁ EM ALTA)?</w:t>
      </w:r>
    </w:p>
    <w:p w14:paraId="47B9D957" w14:textId="32AB0CED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1. Resumo executivo</w:t>
      </w:r>
    </w:p>
    <w:p w14:paraId="3FD3B825" w14:textId="77777777" w:rsidR="00833A16" w:rsidRPr="00833A16" w:rsidRDefault="00833A16" w:rsidP="00833A16">
      <w:r w:rsidRPr="00833A16">
        <w:t xml:space="preserve">O sistema não tem uma inversão generalizada. Os fatores de clima e safra estão logicamente corretos para uma safra grande, mas o mercado está precificando </w:t>
      </w:r>
      <w:r w:rsidRPr="00833A16">
        <w:rPr>
          <w:b/>
          <w:bCs/>
        </w:rPr>
        <w:t xml:space="preserve">estoques baixos, oferta colombiana abaixo do esperado, risco de El </w:t>
      </w:r>
      <w:proofErr w:type="spellStart"/>
      <w:r w:rsidRPr="00833A16">
        <w:rPr>
          <w:b/>
          <w:bCs/>
        </w:rPr>
        <w:t>Niño</w:t>
      </w:r>
      <w:proofErr w:type="spellEnd"/>
      <w:r w:rsidRPr="00833A16">
        <w:rPr>
          <w:b/>
          <w:bCs/>
        </w:rPr>
        <w:t xml:space="preserve"> para a próxima safra e posicionamento vendido extremo</w:t>
      </w:r>
      <w:r w:rsidRPr="00833A16">
        <w:t>. O sistema não captura esses elementos e usa fatores lentos para o sinal de curto prazo.</w:t>
      </w:r>
    </w:p>
    <w:tbl>
      <w:tblPr>
        <w:tblW w:w="153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"/>
        <w:gridCol w:w="4808"/>
        <w:gridCol w:w="1492"/>
        <w:gridCol w:w="8729"/>
      </w:tblGrid>
      <w:tr w:rsidR="00833A16" w:rsidRPr="00833A16" w14:paraId="1DB462EC" w14:textId="77777777" w:rsidTr="00833A1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84C3F9B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#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030E0D1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Erro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E2DA504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Gravidade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820644B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Ação principal</w:t>
            </w:r>
          </w:p>
        </w:tc>
      </w:tr>
      <w:tr w:rsidR="00833A16" w:rsidRPr="00833A16" w14:paraId="6770C391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C43AAC3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E1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AFAC91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Defasagem e base de preço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2005CE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Alta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2F9E27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 xml:space="preserve">Série com </w:t>
            </w:r>
            <w:proofErr w:type="spellStart"/>
            <w:r w:rsidRPr="00833A16">
              <w:t>timestamp</w:t>
            </w:r>
            <w:proofErr w:type="spellEnd"/>
            <w:r w:rsidRPr="00833A16">
              <w:t>, rolagem explícita e conciliação B3 × ICE</w:t>
            </w:r>
          </w:p>
        </w:tc>
      </w:tr>
      <w:tr w:rsidR="00833A16" w:rsidRPr="00833A16" w14:paraId="59C29D14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C0B8C8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E2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21C1F9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Módulo de eventos com escopo estreito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BF4D55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Alta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AAA7E7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Pipeline com fontes primárias e decaimento temporal</w:t>
            </w:r>
          </w:p>
        </w:tc>
      </w:tr>
      <w:tr w:rsidR="00833A16" w:rsidRPr="00833A16" w14:paraId="6DE71EB5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A11002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E3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93FA3A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F3 (estoques) neutro com aperto de mercado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974E13B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Alta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3F15F7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Nível absoluto, tendência, curva e percentil de longo prazo</w:t>
            </w:r>
          </w:p>
        </w:tc>
      </w:tr>
      <w:tr w:rsidR="00833A16" w:rsidRPr="00833A16" w14:paraId="6B9D5EB3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691E97B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E4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6B70AE5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F7 (fundos) com direção não sustentada pelo histórico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729CCA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Alta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99D1E3A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Rebaixar para modificador e testar as três versões fora da amostra</w:t>
            </w:r>
          </w:p>
        </w:tc>
      </w:tr>
      <w:tr w:rsidR="00833A16" w:rsidRPr="00833A16" w14:paraId="4EA166A6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F46EBB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E5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ECEB576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F6 (demanda) com horizonte incompatível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B1436C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1853725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Retirar do curto prazo</w:t>
            </w:r>
          </w:p>
        </w:tc>
      </w:tr>
      <w:tr w:rsidR="00833A16" w:rsidRPr="00833A16" w14:paraId="6E5B2EB5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0EBD0D6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E6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1B7761D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F1 (clima) sem regime sazonal e com dado insuficiente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63AFE3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Alta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03863D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Leitura condicional à janela fenológica</w:t>
            </w:r>
          </w:p>
        </w:tc>
      </w:tr>
      <w:tr w:rsidR="00833A16" w:rsidRPr="00833A16" w14:paraId="789D4E4B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B1BBC6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E7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217B5ED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F2 (Conab) medindo nível, e não surpresa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2AB1E43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9B4D00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Medir a surpresa contra expectativa de mercado</w:t>
            </w:r>
          </w:p>
        </w:tc>
      </w:tr>
      <w:tr w:rsidR="00833A16" w:rsidRPr="00833A16" w14:paraId="38450310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5D18476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E8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1D38E64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F4 (câmbio) com peso acima da evidência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C0A5EE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4E7B62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Reduzir peso e usar preço real em R$</w:t>
            </w:r>
          </w:p>
        </w:tc>
      </w:tr>
      <w:tr w:rsidR="00833A16" w:rsidRPr="00833A16" w14:paraId="193C0574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A935C6C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E9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24D6C63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F5 (custo) sem função no curto prazo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F43BA94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Baixa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459847A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Usar como piso de longo prazo</w:t>
            </w:r>
          </w:p>
        </w:tc>
      </w:tr>
      <w:tr w:rsidR="00833A16" w:rsidRPr="00833A16" w14:paraId="420C4CD3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EA9F16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E10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89EFA7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Fatores ausentes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5FAD53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Alta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2D149E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 xml:space="preserve">Incluir momentum, estrutura a termo, </w:t>
            </w:r>
            <w:proofErr w:type="spellStart"/>
            <w:r w:rsidRPr="00833A16">
              <w:t>basis</w:t>
            </w:r>
            <w:proofErr w:type="spellEnd"/>
            <w:r w:rsidRPr="00833A16">
              <w:t>, Colômbia e sazonalidade</w:t>
            </w:r>
          </w:p>
        </w:tc>
      </w:tr>
      <w:tr w:rsidR="00833A16" w:rsidRPr="00833A16" w14:paraId="7F352E2C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CEC1FC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E11</w:t>
            </w:r>
          </w:p>
        </w:tc>
        <w:tc>
          <w:tcPr>
            <w:tcW w:w="4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98D03EB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Mistura de contratos nos horizontes</w:t>
            </w:r>
          </w:p>
        </w:tc>
        <w:tc>
          <w:tcPr>
            <w:tcW w:w="1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1DC1F5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Média</w:t>
            </w:r>
          </w:p>
        </w:tc>
        <w:tc>
          <w:tcPr>
            <w:tcW w:w="8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4AC408D" w14:textId="1BBFBA98" w:rsidR="00833A16" w:rsidRPr="00833A16" w:rsidRDefault="00833A16" w:rsidP="00833A16">
            <w:pPr>
              <w:spacing w:after="0"/>
              <w:jc w:val="center"/>
            </w:pPr>
            <w:r w:rsidRPr="00833A16">
              <w:t>Medir cada horizonte no mesmo contrato ou em série contínua ajustada</w:t>
            </w:r>
            <w:r>
              <w:t xml:space="preserve"> – UTILIZAR O ICFFUT</w:t>
            </w:r>
          </w:p>
        </w:tc>
      </w:tr>
    </w:tbl>
    <w:p w14:paraId="582FACC1" w14:textId="77777777" w:rsidR="00833A16" w:rsidRDefault="00833A16" w:rsidP="00833A16"/>
    <w:p w14:paraId="36393CBB" w14:textId="25661490" w:rsidR="00833A16" w:rsidRPr="00833A16" w:rsidRDefault="00833A16" w:rsidP="00833A16">
      <w:r w:rsidRPr="00833A16">
        <w:pict w14:anchorId="6027C2C0">
          <v:rect id="_x0000_i1127" style="width:0;height:0" o:hralign="center" o:hrstd="t" o:hr="t" fillcolor="#a0a0a0" stroked="f"/>
        </w:pict>
      </w:r>
    </w:p>
    <w:p w14:paraId="4CDB9764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lastRenderedPageBreak/>
        <w:t>2. Correções detalhadas</w:t>
      </w:r>
    </w:p>
    <w:p w14:paraId="1F4BBFC8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E1. Defasagem e base de preço</w:t>
      </w:r>
    </w:p>
    <w:p w14:paraId="38091713" w14:textId="77777777" w:rsidR="00833A16" w:rsidRPr="00833A16" w:rsidRDefault="00833A16" w:rsidP="00833A16">
      <w:r w:rsidRPr="00833A16">
        <w:rPr>
          <w:b/>
          <w:bCs/>
        </w:rPr>
        <w:t>Problema:</w:t>
      </w:r>
      <w:r w:rsidRPr="00833A16">
        <w:t xml:space="preserve"> o sinal de 1 dia usa preço de 16/10 para uma análise de 19/10. A conversão e o </w:t>
      </w:r>
      <w:proofErr w:type="spellStart"/>
      <w:r w:rsidRPr="00833A16">
        <w:t>basis</w:t>
      </w:r>
      <w:proofErr w:type="spellEnd"/>
      <w:r w:rsidRPr="00833A16">
        <w:t xml:space="preserve"> B3 × NY não são conciliados.</w:t>
      </w:r>
    </w:p>
    <w:p w14:paraId="4FC70F50" w14:textId="77777777" w:rsidR="00833A16" w:rsidRPr="00833A16" w:rsidRDefault="00833A16" w:rsidP="00833A16">
      <w:r w:rsidRPr="00833A16">
        <w:rPr>
          <w:b/>
          <w:bCs/>
        </w:rPr>
        <w:t>O que fazer:</w:t>
      </w:r>
    </w:p>
    <w:p w14:paraId="22A360FB" w14:textId="77777777" w:rsidR="00833A16" w:rsidRPr="00833A16" w:rsidRDefault="00833A16" w:rsidP="00833A16">
      <w:pPr>
        <w:numPr>
          <w:ilvl w:val="0"/>
          <w:numId w:val="1"/>
        </w:numPr>
      </w:pPr>
      <w:r w:rsidRPr="00833A16">
        <w:t xml:space="preserve">Gerar o sinal com o fechamento do dia D (ajuste oficial da B3) para execução em D+1, com </w:t>
      </w:r>
      <w:proofErr w:type="spellStart"/>
      <w:r w:rsidRPr="00833A16">
        <w:t>timestamp</w:t>
      </w:r>
      <w:proofErr w:type="spellEnd"/>
      <w:r w:rsidRPr="00833A16">
        <w:t xml:space="preserve"> registrado.</w:t>
      </w:r>
    </w:p>
    <w:p w14:paraId="70CC4CC1" w14:textId="77777777" w:rsidR="00833A16" w:rsidRPr="00833A16" w:rsidRDefault="00833A16" w:rsidP="00833A16">
      <w:pPr>
        <w:numPr>
          <w:ilvl w:val="0"/>
          <w:numId w:val="1"/>
        </w:numPr>
      </w:pPr>
      <w:r w:rsidRPr="00833A16">
        <w:t>Construir série contínua do ICF com regra de rolagem explícita: migrar do ICFZ26 para o ICFH27 quando a liquidez migrar ou 10 dias úteis antes da última negociação, o que ocorrer primeiro. Ajustar a série pela diferença de preço na rolagem, para não criar retornos falsos.</w:t>
      </w:r>
    </w:p>
    <w:p w14:paraId="68A98491" w14:textId="77777777" w:rsidR="00833A16" w:rsidRPr="00833A16" w:rsidRDefault="00833A16" w:rsidP="00833A16">
      <w:pPr>
        <w:numPr>
          <w:ilvl w:val="0"/>
          <w:numId w:val="1"/>
        </w:numPr>
      </w:pPr>
      <w:r w:rsidRPr="00833A16">
        <w:t>Conciliar B3 e ICE pela fórmula:</w:t>
      </w:r>
    </w:p>
    <w:p w14:paraId="4A4FA3A3" w14:textId="0F574EF2" w:rsidR="00833A16" w:rsidRPr="00833A16" w:rsidRDefault="00833A16" w:rsidP="00833A16">
      <w:proofErr w:type="spellStart"/>
      <m:oMathPara>
        <m:oMath>
          <m:r>
            <m:rPr>
              <m:nor/>
            </m:rPr>
            <m:t>Pre</m:t>
          </m:r>
          <w:proofErr w:type="spellEnd"/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m:t>c</m:t>
              </m:r>
            </m:e>
            <m:lim>
              <m:r>
                <w:rPr>
                  <w:rFonts w:ascii="Cambria Math" w:hAnsi="Cambria Math"/>
                </w:rPr>
                <m:t>¸</m:t>
              </m:r>
            </m:lim>
          </m:limUpp>
          <m:r>
            <m:rPr>
              <m:nor/>
            </m:rPr>
            <m:t>o (US$/saca)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Pre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w:proofErr w:type="spellStart"/>
              <m:r>
                <m:rPr>
                  <m:nor/>
                </m:rPr>
                <m:t>c</m:t>
              </m:r>
              <w:proofErr w:type="spellEnd"/>
            </m:e>
            <m:lim>
              <m:r>
                <w:rPr>
                  <w:rFonts w:ascii="Cambria Math" w:hAnsi="Cambria Math"/>
                </w:rPr>
                <m:t>¸</m:t>
              </m:r>
            </m:lim>
          </m:limUpp>
          <m:r>
            <m:rPr>
              <m:nor/>
            </m:rPr>
            <m:t>o (c/lb)</m:t>
          </m:r>
          <m:r>
            <w:rPr>
              <w:rFonts w:ascii="Cambria Math" w:hAnsi="Cambria Math"/>
            </w:rPr>
            <m:t>×1,3228</m:t>
          </m:r>
        </m:oMath>
      </m:oMathPara>
    </w:p>
    <w:p w14:paraId="6C4592CE" w14:textId="77777777" w:rsidR="00833A16" w:rsidRPr="00833A16" w:rsidRDefault="00833A16" w:rsidP="00833A16">
      <w:pPr>
        <w:numPr>
          <w:ilvl w:val="0"/>
          <w:numId w:val="2"/>
        </w:numPr>
      </w:pPr>
      <w:r w:rsidRPr="00833A16">
        <w:t xml:space="preserve">Calcular o </w:t>
      </w:r>
      <w:proofErr w:type="spellStart"/>
      <w:r w:rsidRPr="00833A16">
        <w:t>basis</w:t>
      </w:r>
      <w:proofErr w:type="spellEnd"/>
      <w:r w:rsidRPr="00833A16">
        <w:t xml:space="preserve"> B3 × NY convertido e seu percentil histórico. Um </w:t>
      </w:r>
      <w:proofErr w:type="spellStart"/>
      <w:r w:rsidRPr="00833A16">
        <w:t>basis</w:t>
      </w:r>
      <w:proofErr w:type="spellEnd"/>
      <w:r w:rsidRPr="00833A16">
        <w:t xml:space="preserve"> fora da faixa normal é informação, não ruído.</w:t>
      </w:r>
    </w:p>
    <w:p w14:paraId="441DECEF" w14:textId="77777777" w:rsidR="00833A16" w:rsidRPr="00833A16" w:rsidRDefault="00833A16" w:rsidP="00833A16">
      <w:r w:rsidRPr="00833A16">
        <w:rPr>
          <w:b/>
          <w:bCs/>
        </w:rPr>
        <w:t>Fontes:</w:t>
      </w:r>
      <w:r w:rsidRPr="00833A16">
        <w:t xml:space="preserve"> B3 (Boletim Diário de Informações e ajustes do ICF; Up2Data para negócios consolidados; calendário de vencimentos); ICE (</w:t>
      </w:r>
      <w:proofErr w:type="spellStart"/>
      <w:r w:rsidRPr="00833A16">
        <w:t>settlement</w:t>
      </w:r>
      <w:proofErr w:type="spellEnd"/>
      <w:r w:rsidRPr="00833A16">
        <w:t xml:space="preserve"> do </w:t>
      </w:r>
      <w:proofErr w:type="spellStart"/>
      <w:r w:rsidRPr="00833A16">
        <w:t>Coffee</w:t>
      </w:r>
      <w:proofErr w:type="spellEnd"/>
      <w:r w:rsidRPr="00833A16">
        <w:t xml:space="preserve"> C).</w:t>
      </w:r>
    </w:p>
    <w:p w14:paraId="4B176FA7" w14:textId="77777777" w:rsidR="00833A16" w:rsidRPr="00833A16" w:rsidRDefault="00833A16" w:rsidP="00833A16">
      <w:r w:rsidRPr="00833A16">
        <w:rPr>
          <w:b/>
          <w:bCs/>
        </w:rPr>
        <w:t>Critério de aceite:</w:t>
      </w:r>
      <w:r w:rsidRPr="00833A16">
        <w:t xml:space="preserve"> série sem saltos na rolagem e </w:t>
      </w:r>
      <w:proofErr w:type="spellStart"/>
      <w:r w:rsidRPr="00833A16">
        <w:t>basis</w:t>
      </w:r>
      <w:proofErr w:type="spellEnd"/>
      <w:r w:rsidRPr="00833A16">
        <w:t xml:space="preserve"> conciliado, com justificativa para cada desvio acima de 2 desvios padrão.</w:t>
      </w:r>
    </w:p>
    <w:p w14:paraId="5D2349E9" w14:textId="77777777" w:rsidR="00833A16" w:rsidRPr="00833A16" w:rsidRDefault="00833A16" w:rsidP="00833A16">
      <w:r w:rsidRPr="00833A16">
        <w:pict w14:anchorId="706717F0">
          <v:rect id="_x0000_i1128" style="width:0;height:0" o:hralign="center" o:hrstd="t" o:hr="t" fillcolor="#a0a0a0" stroked="f"/>
        </w:pict>
      </w:r>
    </w:p>
    <w:p w14:paraId="2DD74D3B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E2. Módulo de eventos</w:t>
      </w:r>
    </w:p>
    <w:p w14:paraId="37BAA541" w14:textId="77777777" w:rsidR="00833A16" w:rsidRPr="00833A16" w:rsidRDefault="00833A16" w:rsidP="00833A16">
      <w:r w:rsidRPr="00833A16">
        <w:rPr>
          <w:b/>
          <w:bCs/>
        </w:rPr>
        <w:t>Problema:</w:t>
      </w:r>
      <w:r w:rsidRPr="00833A16">
        <w:t xml:space="preserve"> o módulo registra "nenhum evento relevante" e "nível NORMAL". No mesmo período, as fontes citam estoques certificados baixos (Safras &amp; Mercado, 14/10), indicativos da safra colombiana abaixo das expectativas (Safras &amp; Mercado e Trading </w:t>
      </w:r>
      <w:proofErr w:type="spellStart"/>
      <w:r w:rsidRPr="00833A16">
        <w:t>Economics</w:t>
      </w:r>
      <w:proofErr w:type="spellEnd"/>
      <w:r w:rsidRPr="00833A16">
        <w:t xml:space="preserve">) e risco de El </w:t>
      </w:r>
      <w:proofErr w:type="spellStart"/>
      <w:r w:rsidRPr="00833A16">
        <w:t>Niño</w:t>
      </w:r>
      <w:proofErr w:type="spellEnd"/>
      <w:r w:rsidRPr="00833A16">
        <w:t xml:space="preserve"> para a safra 2027/28 (Safras &amp; Mercado). O detector busca principalmente clima de curto prazo, geada e logística.</w:t>
      </w:r>
    </w:p>
    <w:p w14:paraId="0E6279C5" w14:textId="77777777" w:rsidR="00833A16" w:rsidRPr="00833A16" w:rsidRDefault="00833A16" w:rsidP="00833A16">
      <w:r w:rsidRPr="00833A16">
        <w:rPr>
          <w:b/>
          <w:bCs/>
        </w:rPr>
        <w:t>O que fazer:</w:t>
      </w:r>
    </w:p>
    <w:p w14:paraId="72E63528" w14:textId="77777777" w:rsidR="00833A16" w:rsidRPr="00833A16" w:rsidRDefault="00833A16" w:rsidP="00833A16">
      <w:pPr>
        <w:numPr>
          <w:ilvl w:val="0"/>
          <w:numId w:val="3"/>
        </w:numPr>
      </w:pPr>
      <w:r w:rsidRPr="00833A16">
        <w:t>Ampliar o escopo para oferta (Brasil, Colômbia, Vietnã), estoques, exportações, clima de médio prazo (ENSO), política comercial e câmbio.</w:t>
      </w:r>
    </w:p>
    <w:p w14:paraId="04924163" w14:textId="77777777" w:rsidR="00833A16" w:rsidRPr="00833A16" w:rsidRDefault="00833A16" w:rsidP="00833A16">
      <w:pPr>
        <w:numPr>
          <w:ilvl w:val="0"/>
          <w:numId w:val="3"/>
        </w:numPr>
      </w:pPr>
      <w:r w:rsidRPr="00833A16">
        <w:t>Classificar cada evento por tipo, direção, magnitude (1 a 3), horizonte e meia-vida. Referência inicial: notícia de mercado com meia-vida de 3 a 5 dias; relatório de safra, de 20 a 30 dias.</w:t>
      </w:r>
    </w:p>
    <w:p w14:paraId="79E31E32" w14:textId="77777777" w:rsidR="00833A16" w:rsidRPr="00833A16" w:rsidRDefault="00833A16" w:rsidP="00833A16">
      <w:pPr>
        <w:numPr>
          <w:ilvl w:val="0"/>
          <w:numId w:val="3"/>
        </w:numPr>
      </w:pPr>
      <w:r w:rsidRPr="00833A16">
        <w:t xml:space="preserve">Hierarquia de fontes: primárias (Conab, USDA, FNC, Cecafé, ICE, INMET, NOAA) têm peso pleno. Secundárias (Safras &amp; Mercado, Notícias Agrícolas, Cepea, Trading </w:t>
      </w:r>
      <w:proofErr w:type="spellStart"/>
      <w:r w:rsidRPr="00833A16">
        <w:t>Economics</w:t>
      </w:r>
      <w:proofErr w:type="spellEnd"/>
      <w:r w:rsidRPr="00833A16">
        <w:t>) entram com confirmação de fonte primária ou como alerta.</w:t>
      </w:r>
    </w:p>
    <w:p w14:paraId="190A5CF3" w14:textId="77777777" w:rsidR="00833A16" w:rsidRPr="00833A16" w:rsidRDefault="00833A16" w:rsidP="00833A16">
      <w:pPr>
        <w:numPr>
          <w:ilvl w:val="0"/>
          <w:numId w:val="3"/>
        </w:numPr>
      </w:pPr>
      <w:r w:rsidRPr="00833A16">
        <w:t>Regra de status: "NORMAL" só pode ser atribuído quando o detector rodou sobre o escopo completo. Caso contrário, o status é "NÃO VERIFICADO".</w:t>
      </w:r>
    </w:p>
    <w:p w14:paraId="3D9CA8A0" w14:textId="77777777" w:rsidR="00833A16" w:rsidRPr="00833A16" w:rsidRDefault="00833A16" w:rsidP="00833A16">
      <w:r w:rsidRPr="00833A16">
        <w:rPr>
          <w:b/>
          <w:bCs/>
        </w:rPr>
        <w:lastRenderedPageBreak/>
        <w:t>Critério de aceite:</w:t>
      </w:r>
      <w:r w:rsidRPr="00833A16">
        <w:t xml:space="preserve"> em teste retroativo sobre 30 dias de notícias conhecidas, o módulo captura pelo menos 80% dos eventos de magnitude 2 ou 3 identificados manualmente.</w:t>
      </w:r>
    </w:p>
    <w:p w14:paraId="3DFDCD81" w14:textId="77777777" w:rsidR="00833A16" w:rsidRPr="00833A16" w:rsidRDefault="00833A16" w:rsidP="00833A16">
      <w:r w:rsidRPr="00833A16">
        <w:pict w14:anchorId="3E0E4A5F">
          <v:rect id="_x0000_i1129" style="width:0;height:0" o:hralign="center" o:hrstd="t" o:hr="t" fillcolor="#a0a0a0" stroked="f"/>
        </w:pict>
      </w:r>
    </w:p>
    <w:p w14:paraId="4CC19D5D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E3. F3 Estoques certificados ICE</w:t>
      </w:r>
    </w:p>
    <w:p w14:paraId="3ABEC7E9" w14:textId="77777777" w:rsidR="00833A16" w:rsidRPr="00833A16" w:rsidRDefault="00833A16" w:rsidP="00833A16">
      <w:r w:rsidRPr="00833A16">
        <w:rPr>
          <w:b/>
          <w:bCs/>
        </w:rPr>
        <w:t>Problema:</w:t>
      </w:r>
      <w:r w:rsidRPr="00833A16">
        <w:t xml:space="preserve"> o fator usa percentil de 5 anos (40,7) e fica neutro. O estoque caiu 6,83% em 4 semanas, e o mercado cita estoques baixos como sustentação. Um estoque em percentil médio, mas em queda acelerada e com curva em </w:t>
      </w:r>
      <w:proofErr w:type="spellStart"/>
      <w:r w:rsidRPr="00833A16">
        <w:t>backwardation</w:t>
      </w:r>
      <w:proofErr w:type="spellEnd"/>
      <w:r w:rsidRPr="00833A16">
        <w:t>, sinaliza aperto que a regra não enxerga.</w:t>
      </w:r>
    </w:p>
    <w:p w14:paraId="4408084A" w14:textId="77777777" w:rsidR="00833A16" w:rsidRPr="00833A16" w:rsidRDefault="00833A16" w:rsidP="00833A16">
      <w:r w:rsidRPr="00833A16">
        <w:rPr>
          <w:b/>
          <w:bCs/>
        </w:rPr>
        <w:t>O que fazer:</w:t>
      </w:r>
    </w:p>
    <w:p w14:paraId="0332E623" w14:textId="77777777" w:rsidR="00833A16" w:rsidRPr="00833A16" w:rsidRDefault="00833A16" w:rsidP="00833A16">
      <w:pPr>
        <w:numPr>
          <w:ilvl w:val="0"/>
          <w:numId w:val="4"/>
        </w:numPr>
      </w:pPr>
      <w:r w:rsidRPr="00833A16">
        <w:t>Acrescentar percentil de longo prazo (10 a 20 anos). Cinco anos é janela curta para um mercado cíclico.</w:t>
      </w:r>
    </w:p>
    <w:p w14:paraId="52B38BBB" w14:textId="77777777" w:rsidR="00833A16" w:rsidRPr="00833A16" w:rsidRDefault="00833A16" w:rsidP="00833A16">
      <w:pPr>
        <w:numPr>
          <w:ilvl w:val="0"/>
          <w:numId w:val="4"/>
        </w:numPr>
      </w:pPr>
      <w:r w:rsidRPr="00833A16">
        <w:t xml:space="preserve">Manter a variação de 4 semanas e acrescentar a inclinação da curva (spread entre o 1º e o 2º vencimento). </w:t>
      </w:r>
      <w:proofErr w:type="spellStart"/>
      <w:r w:rsidRPr="00833A16">
        <w:t>Backwardation</w:t>
      </w:r>
      <w:proofErr w:type="spellEnd"/>
      <w:r w:rsidRPr="00833A16">
        <w:t xml:space="preserve"> é o indicador de aperto mais rápido.</w:t>
      </w:r>
    </w:p>
    <w:p w14:paraId="4D04558F" w14:textId="77777777" w:rsidR="00833A16" w:rsidRPr="00833A16" w:rsidRDefault="00833A16" w:rsidP="00833A16">
      <w:pPr>
        <w:numPr>
          <w:ilvl w:val="0"/>
          <w:numId w:val="4"/>
        </w:numPr>
      </w:pPr>
      <w:r w:rsidRPr="00833A16">
        <w:t>Converter o estoque em dias de consumo, usando o consumo mundial do USDA: estoque ÷ consumo diário.</w:t>
      </w:r>
    </w:p>
    <w:p w14:paraId="3A532A83" w14:textId="77777777" w:rsidR="00833A16" w:rsidRPr="00833A16" w:rsidRDefault="00833A16" w:rsidP="00833A16">
      <w:pPr>
        <w:numPr>
          <w:ilvl w:val="0"/>
          <w:numId w:val="4"/>
        </w:numPr>
      </w:pPr>
      <w:r w:rsidRPr="00833A16">
        <w:t>Tornar a resposta não linear: abaixo do percentil 10 de longo prazo, o peso do fator aumenta.</w:t>
      </w:r>
    </w:p>
    <w:p w14:paraId="2392BC15" w14:textId="77777777" w:rsidR="00833A16" w:rsidRPr="00833A16" w:rsidRDefault="00833A16" w:rsidP="00833A16">
      <w:r w:rsidRPr="00833A16">
        <w:rPr>
          <w:b/>
          <w:bCs/>
        </w:rPr>
        <w:t>Dado de referência:</w:t>
      </w:r>
      <w:r w:rsidRPr="00833A16">
        <w:t xml:space="preserve"> a </w:t>
      </w:r>
      <w:proofErr w:type="spellStart"/>
      <w:r w:rsidRPr="00833A16">
        <w:t>backwardation</w:t>
      </w:r>
      <w:proofErr w:type="spellEnd"/>
      <w:r w:rsidRPr="00833A16">
        <w:t xml:space="preserve"> do ICF (ICFZ26 em </w:t>
      </w:r>
      <w:r w:rsidRPr="00833A16">
        <w:rPr>
          <w:b/>
          <w:bCs/>
        </w:rPr>
        <w:t>US$ 377,10</w:t>
      </w:r>
      <w:r w:rsidRPr="00833A16">
        <w:t xml:space="preserve"> contra ICFH27 em </w:t>
      </w:r>
      <w:r w:rsidRPr="00833A16">
        <w:rPr>
          <w:b/>
          <w:bCs/>
        </w:rPr>
        <w:t>US$ 370,95</w:t>
      </w:r>
      <w:r w:rsidRPr="00833A16">
        <w:t>) é de cerca de 1,6%. Esse é um sinal de aperto que o sistema não usa. Ver também E11, porque parte dessa diferença pode ser efeito de troca de contrato.</w:t>
      </w:r>
    </w:p>
    <w:p w14:paraId="4F4638F6" w14:textId="77777777" w:rsidR="00833A16" w:rsidRPr="00833A16" w:rsidRDefault="00833A16" w:rsidP="00833A16">
      <w:r w:rsidRPr="00833A16">
        <w:rPr>
          <w:b/>
          <w:bCs/>
        </w:rPr>
        <w:t>Fontes:</w:t>
      </w:r>
      <w:r w:rsidRPr="00833A16">
        <w:t xml:space="preserve"> ICE </w:t>
      </w:r>
      <w:proofErr w:type="spellStart"/>
      <w:r w:rsidRPr="00833A16">
        <w:t>Certified</w:t>
      </w:r>
      <w:proofErr w:type="spellEnd"/>
      <w:r w:rsidRPr="00833A16">
        <w:t xml:space="preserve"> </w:t>
      </w:r>
      <w:proofErr w:type="spellStart"/>
      <w:r w:rsidRPr="00833A16">
        <w:t>Coffee</w:t>
      </w:r>
      <w:proofErr w:type="spellEnd"/>
      <w:r w:rsidRPr="00833A16">
        <w:t xml:space="preserve"> Stocks (diário); ICE </w:t>
      </w:r>
      <w:proofErr w:type="spellStart"/>
      <w:r w:rsidRPr="00833A16">
        <w:t>settlement</w:t>
      </w:r>
      <w:proofErr w:type="spellEnd"/>
      <w:r w:rsidRPr="00833A16">
        <w:t xml:space="preserve"> do </w:t>
      </w:r>
      <w:proofErr w:type="spellStart"/>
      <w:r w:rsidRPr="00833A16">
        <w:t>Coffee</w:t>
      </w:r>
      <w:proofErr w:type="spellEnd"/>
      <w:r w:rsidRPr="00833A16">
        <w:t xml:space="preserve"> C; USDA PSD (consumo).</w:t>
      </w:r>
    </w:p>
    <w:p w14:paraId="54040C35" w14:textId="77777777" w:rsidR="00833A16" w:rsidRPr="00833A16" w:rsidRDefault="00833A16" w:rsidP="00833A16">
      <w:r w:rsidRPr="00833A16">
        <w:rPr>
          <w:b/>
          <w:bCs/>
        </w:rPr>
        <w:t>Critério de aceite:</w:t>
      </w:r>
      <w:r w:rsidRPr="00833A16">
        <w:t xml:space="preserve"> correlação positiva com retorno futuro de 20 dias fora da amostra de calibração.</w:t>
      </w:r>
    </w:p>
    <w:p w14:paraId="3A553B19" w14:textId="77777777" w:rsidR="00833A16" w:rsidRPr="00833A16" w:rsidRDefault="00833A16" w:rsidP="00833A16">
      <w:r w:rsidRPr="00833A16">
        <w:pict w14:anchorId="454805D6">
          <v:rect id="_x0000_i1130" style="width:0;height:0" o:hralign="center" o:hrstd="t" o:hr="t" fillcolor="#a0a0a0" stroked="f"/>
        </w:pict>
      </w:r>
    </w:p>
    <w:p w14:paraId="72C912DC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E4. F7 Posicionamento dos fundos (COT)</w:t>
      </w:r>
    </w:p>
    <w:p w14:paraId="26E56787" w14:textId="77777777" w:rsidR="00833A16" w:rsidRPr="00833A16" w:rsidRDefault="00833A16" w:rsidP="00833A16">
      <w:r w:rsidRPr="00833A16">
        <w:rPr>
          <w:b/>
          <w:bCs/>
        </w:rPr>
        <w:t>Problema, com precisão:</w:t>
      </w:r>
      <w:r w:rsidRPr="00833A16">
        <w:t xml:space="preserve"> a regra do motor é </w:t>
      </w:r>
      <w:r w:rsidRPr="00833A16">
        <w:rPr>
          <w:b/>
          <w:bCs/>
        </w:rPr>
        <w:t>contrária à posição</w:t>
      </w:r>
      <w:r w:rsidRPr="00833A16">
        <w:t>. Posição vendida extrema gera pressão de alta, porque se espera cobertura de vendidos. A posição atual está em percentil 3,9 (mais vendida), e por isso o fator vota alta forte.</w:t>
      </w:r>
    </w:p>
    <w:p w14:paraId="49C16535" w14:textId="77777777" w:rsidR="00833A16" w:rsidRPr="00833A16" w:rsidRDefault="00833A16" w:rsidP="00833A16">
      <w:r w:rsidRPr="00833A16">
        <w:t>O próprio histórico do motor não sustenta essa regra. Depois de extremos vendidos, o preço subiu em 3 meses em 33% dos casos, contra 46% na média geral. Ou seja, o extremo vendido não antecipou alta. A evidência indica ausência de vantagem da regra contrária ou, se houver algum padrão, o sentido oposto (seguir o fluxo). A amostra tem cerca de 20 episódios por lado, sem significância estatística.</w:t>
      </w:r>
    </w:p>
    <w:p w14:paraId="1B5480D1" w14:textId="77777777" w:rsidR="00833A16" w:rsidRPr="00833A16" w:rsidRDefault="00833A16" w:rsidP="00833A16">
      <w:r w:rsidRPr="00833A16">
        <w:rPr>
          <w:b/>
          <w:bCs/>
        </w:rPr>
        <w:t>O que fazer:</w:t>
      </w:r>
    </w:p>
    <w:p w14:paraId="13DE8E3F" w14:textId="77777777" w:rsidR="00833A16" w:rsidRPr="00833A16" w:rsidRDefault="00833A16" w:rsidP="00833A16">
      <w:pPr>
        <w:numPr>
          <w:ilvl w:val="0"/>
          <w:numId w:val="5"/>
        </w:numPr>
      </w:pPr>
      <w:r w:rsidRPr="00833A16">
        <w:t>Não inverter o sinal agora. Não há amostra suficiente para isso.</w:t>
      </w:r>
    </w:p>
    <w:p w14:paraId="5C03C2D4" w14:textId="77777777" w:rsidR="00833A16" w:rsidRPr="00833A16" w:rsidRDefault="00833A16" w:rsidP="00833A16">
      <w:pPr>
        <w:numPr>
          <w:ilvl w:val="0"/>
          <w:numId w:val="5"/>
        </w:numPr>
      </w:pPr>
      <w:r w:rsidRPr="00833A16">
        <w:t xml:space="preserve">Rebaixar para </w:t>
      </w:r>
      <w:r w:rsidRPr="00833A16">
        <w:rPr>
          <w:b/>
          <w:bCs/>
        </w:rPr>
        <w:t>modificador</w:t>
      </w:r>
      <w:r w:rsidRPr="00833A16">
        <w:t xml:space="preserve">. Em vez de somar voto, o fator multiplica o sinal final por $m$ entre 0,5 e 1,0, conforme o grau de </w:t>
      </w:r>
      <w:proofErr w:type="spellStart"/>
      <w:r w:rsidRPr="00833A16">
        <w:t>crowding</w:t>
      </w:r>
      <w:proofErr w:type="spellEnd"/>
      <w:r w:rsidRPr="00833A16">
        <w:t>:</w:t>
      </w:r>
    </w:p>
    <w:p w14:paraId="175624D9" w14:textId="3D564BE9" w:rsidR="00833A16" w:rsidRPr="00833A16" w:rsidRDefault="00833A16" w:rsidP="00833A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×m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crowding</m:t>
              </m:r>
            </m:e>
          </m:d>
          <m:r>
            <w:rPr>
              <w:rFonts w:ascii="Cambria Math" w:hAnsi="Cambria Math"/>
            </w:rPr>
            <m:t>, m∈</m:t>
          </m:r>
          <m:d>
            <m:dPr>
              <m:begChr m:val="["/>
              <m:sepChr m:val=";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0,5</m:t>
              </m:r>
            </m:e>
            <m:e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1,0</m:t>
              </m:r>
            </m:e>
          </m:d>
        </m:oMath>
      </m:oMathPara>
    </w:p>
    <w:p w14:paraId="5ED04689" w14:textId="77777777" w:rsidR="00833A16" w:rsidRPr="00833A16" w:rsidRDefault="00833A16" w:rsidP="00833A16">
      <w:pPr>
        <w:numPr>
          <w:ilvl w:val="0"/>
          <w:numId w:val="6"/>
        </w:numPr>
      </w:pPr>
      <w:r w:rsidRPr="00833A16">
        <w:t>Testar três versões fora da amostra, por episódio e não por semana:</w:t>
      </w:r>
    </w:p>
    <w:p w14:paraId="772EEE53" w14:textId="77777777" w:rsidR="00833A16" w:rsidRPr="00833A16" w:rsidRDefault="00833A16" w:rsidP="00833A16">
      <w:pPr>
        <w:numPr>
          <w:ilvl w:val="1"/>
          <w:numId w:val="6"/>
        </w:numPr>
      </w:pPr>
      <w:r w:rsidRPr="00833A16">
        <w:t>(a) fator desligado;</w:t>
      </w:r>
    </w:p>
    <w:p w14:paraId="5E79F052" w14:textId="77777777" w:rsidR="00833A16" w:rsidRPr="00833A16" w:rsidRDefault="00833A16" w:rsidP="00833A16">
      <w:pPr>
        <w:numPr>
          <w:ilvl w:val="1"/>
          <w:numId w:val="6"/>
        </w:numPr>
      </w:pPr>
      <w:r w:rsidRPr="00833A16">
        <w:t>(b) modificador, como acima;</w:t>
      </w:r>
    </w:p>
    <w:p w14:paraId="07055189" w14:textId="77777777" w:rsidR="00833A16" w:rsidRPr="00833A16" w:rsidRDefault="00833A16" w:rsidP="00833A16">
      <w:pPr>
        <w:numPr>
          <w:ilvl w:val="1"/>
          <w:numId w:val="6"/>
        </w:numPr>
      </w:pPr>
      <w:r w:rsidRPr="00833A16">
        <w:t>(c) sinal direto, seguindo o fluxo.</w:t>
      </w:r>
    </w:p>
    <w:p w14:paraId="72159CC7" w14:textId="77777777" w:rsidR="00833A16" w:rsidRPr="00833A16" w:rsidRDefault="00833A16" w:rsidP="00833A16">
      <w:pPr>
        <w:numPr>
          <w:ilvl w:val="0"/>
          <w:numId w:val="6"/>
        </w:numPr>
      </w:pPr>
      <w:r w:rsidRPr="00833A16">
        <w:t>Ampliar a janela de percentil para 10 anos e usar a variação semanal da posição líquida como variável complementar.</w:t>
      </w:r>
    </w:p>
    <w:p w14:paraId="422C7E58" w14:textId="77777777" w:rsidR="00833A16" w:rsidRPr="00833A16" w:rsidRDefault="00833A16" w:rsidP="00833A16">
      <w:pPr>
        <w:numPr>
          <w:ilvl w:val="0"/>
          <w:numId w:val="6"/>
        </w:numPr>
      </w:pPr>
      <w:r w:rsidRPr="00833A16">
        <w:t>Acrescentar posições por tipo de investidor na B3, já que o COT mede Nova York.</w:t>
      </w:r>
    </w:p>
    <w:p w14:paraId="3FF7E024" w14:textId="77777777" w:rsidR="00833A16" w:rsidRPr="00833A16" w:rsidRDefault="00833A16" w:rsidP="00833A16">
      <w:r w:rsidRPr="00833A16">
        <w:rPr>
          <w:b/>
          <w:bCs/>
        </w:rPr>
        <w:t>Fontes:</w:t>
      </w:r>
      <w:r w:rsidRPr="00833A16">
        <w:t xml:space="preserve"> CFTC (</w:t>
      </w:r>
      <w:proofErr w:type="spellStart"/>
      <w:r w:rsidRPr="00833A16">
        <w:t>Commitments</w:t>
      </w:r>
      <w:proofErr w:type="spellEnd"/>
      <w:r w:rsidRPr="00833A16">
        <w:t xml:space="preserve"> </w:t>
      </w:r>
      <w:proofErr w:type="spellStart"/>
      <w:r w:rsidRPr="00833A16">
        <w:t>of</w:t>
      </w:r>
      <w:proofErr w:type="spellEnd"/>
      <w:r w:rsidRPr="00833A16">
        <w:t xml:space="preserve"> Traders, </w:t>
      </w:r>
      <w:proofErr w:type="spellStart"/>
      <w:r w:rsidRPr="00833A16">
        <w:t>disaggregado</w:t>
      </w:r>
      <w:proofErr w:type="spellEnd"/>
      <w:r w:rsidRPr="00833A16">
        <w:t>, divulgado às sextas); B3 (posições por tipo de investidor; confirmar periodicidade).</w:t>
      </w:r>
    </w:p>
    <w:p w14:paraId="235EADAE" w14:textId="77777777" w:rsidR="00833A16" w:rsidRPr="00833A16" w:rsidRDefault="00833A16" w:rsidP="00833A16">
      <w:r w:rsidRPr="00833A16">
        <w:rPr>
          <w:b/>
          <w:bCs/>
        </w:rPr>
        <w:t>Critério de aceite:</w:t>
      </w:r>
      <w:r w:rsidRPr="00833A16">
        <w:t xml:space="preserve"> se a relação contrária persistir por 12 meses fora da amostra, o fator é desligado ou reconfigurado conforme o teste (c). A inversão só é adotada se for comprovada pelo método da seção 4.</w:t>
      </w:r>
    </w:p>
    <w:p w14:paraId="0239B592" w14:textId="77777777" w:rsidR="00833A16" w:rsidRPr="00833A16" w:rsidRDefault="00833A16" w:rsidP="00833A16">
      <w:r w:rsidRPr="00833A16">
        <w:pict w14:anchorId="7714CF16">
          <v:rect id="_x0000_i1131" style="width:0;height:0" o:hralign="center" o:hrstd="t" o:hr="t" fillcolor="#a0a0a0" stroked="f"/>
        </w:pict>
      </w:r>
    </w:p>
    <w:p w14:paraId="7AF74ED8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E5. F6 Demanda (USDA PSD)</w:t>
      </w:r>
    </w:p>
    <w:p w14:paraId="7C98A622" w14:textId="77777777" w:rsidR="00833A16" w:rsidRPr="00833A16" w:rsidRDefault="00833A16" w:rsidP="00833A16">
      <w:r w:rsidRPr="00833A16">
        <w:rPr>
          <w:b/>
          <w:bCs/>
        </w:rPr>
        <w:t>Problema:</w:t>
      </w:r>
      <w:r w:rsidRPr="00833A16">
        <w:t xml:space="preserve"> o dado é semestral (publicado em 29/09, com 20 dias de idade) e não deveria pesar em sinal de 7 dias. O motor mostra que o crescimento do consumo não separa o preço. A lista de fatores ainda marca o dado como insuficiente.</w:t>
      </w:r>
    </w:p>
    <w:p w14:paraId="072A6C41" w14:textId="77777777" w:rsidR="00833A16" w:rsidRPr="00833A16" w:rsidRDefault="00833A16" w:rsidP="00833A16">
      <w:r w:rsidRPr="00833A16">
        <w:rPr>
          <w:b/>
          <w:bCs/>
        </w:rPr>
        <w:t>O que fazer:</w:t>
      </w:r>
      <w:r w:rsidRPr="00833A16">
        <w:t xml:space="preserve"> retirar do horizonte curto. Manter apenas no horizonte de 90 dias, com peso baixo. Para acompanhamento mensal, usar exportações do Cecafé e dados da ICO.</w:t>
      </w:r>
    </w:p>
    <w:p w14:paraId="01879D82" w14:textId="77777777" w:rsidR="00833A16" w:rsidRPr="00833A16" w:rsidRDefault="00833A16" w:rsidP="00833A16">
      <w:r w:rsidRPr="00833A16">
        <w:rPr>
          <w:b/>
          <w:bCs/>
        </w:rPr>
        <w:t>Fontes:</w:t>
      </w:r>
      <w:r w:rsidRPr="00833A16">
        <w:t xml:space="preserve"> USDA FAS (WASDE e PSD); ICO (</w:t>
      </w:r>
      <w:proofErr w:type="spellStart"/>
      <w:r w:rsidRPr="00833A16">
        <w:t>Coffee</w:t>
      </w:r>
      <w:proofErr w:type="spellEnd"/>
      <w:r w:rsidRPr="00833A16">
        <w:t xml:space="preserve"> Market Report); Cecafé (exportações mensais).</w:t>
      </w:r>
    </w:p>
    <w:p w14:paraId="4AB237ED" w14:textId="77777777" w:rsidR="00833A16" w:rsidRPr="00833A16" w:rsidRDefault="00833A16" w:rsidP="00833A16">
      <w:r w:rsidRPr="00833A16">
        <w:pict w14:anchorId="745971DB">
          <v:rect id="_x0000_i1132" style="width:0;height:0" o:hralign="center" o:hrstd="t" o:hr="t" fillcolor="#a0a0a0" stroked="f"/>
        </w:pict>
      </w:r>
    </w:p>
    <w:p w14:paraId="321865AD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E6. F1 Clima (VHI)</w:t>
      </w:r>
    </w:p>
    <w:p w14:paraId="6D017656" w14:textId="77777777" w:rsidR="00833A16" w:rsidRPr="00833A16" w:rsidRDefault="00833A16" w:rsidP="00833A16">
      <w:r w:rsidRPr="00833A16">
        <w:rPr>
          <w:b/>
          <w:bCs/>
        </w:rPr>
        <w:t>Problema:</w:t>
      </w:r>
      <w:r w:rsidRPr="00833A16">
        <w:t xml:space="preserve"> o VHI mede a saúde da vegetação, não o risco que move o mercado. O sistema lê vegetação verde (VHI de 61, +36 pontos sobre a mediana de 30 anos) como pressão de baixa. Em outubro, na florada e no pegamento, o que importa é a regularidade das chuvas e o risco de seca. A lista marca o dado como insuficiente.</w:t>
      </w:r>
    </w:p>
    <w:p w14:paraId="6C25AEEF" w14:textId="77777777" w:rsidR="00833A16" w:rsidRPr="00833A16" w:rsidRDefault="00833A16" w:rsidP="00833A16">
      <w:r w:rsidRPr="00833A16">
        <w:rPr>
          <w:b/>
          <w:bCs/>
        </w:rPr>
        <w:t>O que fazer:</w:t>
      </w:r>
    </w:p>
    <w:p w14:paraId="7CB50407" w14:textId="77777777" w:rsidR="00833A16" w:rsidRPr="00833A16" w:rsidRDefault="00833A16" w:rsidP="00833A16">
      <w:pPr>
        <w:numPr>
          <w:ilvl w:val="0"/>
          <w:numId w:val="7"/>
        </w:numPr>
      </w:pPr>
      <w:r w:rsidRPr="00833A16">
        <w:t>Tornar a leitura condicional à janela sazonal:</w:t>
      </w:r>
    </w:p>
    <w:p w14:paraId="47686E76" w14:textId="77777777" w:rsidR="00833A16" w:rsidRPr="00833A16" w:rsidRDefault="00833A16" w:rsidP="00833A16">
      <w:pPr>
        <w:numPr>
          <w:ilvl w:val="1"/>
          <w:numId w:val="7"/>
        </w:numPr>
      </w:pPr>
      <w:r w:rsidRPr="00833A16">
        <w:rPr>
          <w:b/>
          <w:bCs/>
        </w:rPr>
        <w:t>Florada (setembro a novembro):</w:t>
      </w:r>
      <w:r w:rsidRPr="00833A16">
        <w:t xml:space="preserve"> seca ou chuva irregular é altista; chuva regular é baixista.</w:t>
      </w:r>
    </w:p>
    <w:p w14:paraId="0C6290B1" w14:textId="77777777" w:rsidR="00833A16" w:rsidRPr="00833A16" w:rsidRDefault="00833A16" w:rsidP="00833A16">
      <w:pPr>
        <w:numPr>
          <w:ilvl w:val="1"/>
          <w:numId w:val="7"/>
        </w:numPr>
      </w:pPr>
      <w:r w:rsidRPr="00833A16">
        <w:rPr>
          <w:b/>
          <w:bCs/>
        </w:rPr>
        <w:lastRenderedPageBreak/>
        <w:t>Colheita (maio a setembro):</w:t>
      </w:r>
      <w:r w:rsidRPr="00833A16">
        <w:t xml:space="preserve"> excesso de chuva é altista (atraso e perda de qualidade); tempo seco é baixista.</w:t>
      </w:r>
    </w:p>
    <w:p w14:paraId="3C559863" w14:textId="77777777" w:rsidR="00833A16" w:rsidRPr="00833A16" w:rsidRDefault="00833A16" w:rsidP="00833A16">
      <w:pPr>
        <w:numPr>
          <w:ilvl w:val="1"/>
          <w:numId w:val="7"/>
        </w:numPr>
      </w:pPr>
      <w:r w:rsidRPr="00833A16">
        <w:rPr>
          <w:b/>
          <w:bCs/>
        </w:rPr>
        <w:t>Fora dessas janelas:</w:t>
      </w:r>
      <w:r w:rsidRPr="00833A16">
        <w:t xml:space="preserve"> peso mínimo.</w:t>
      </w:r>
    </w:p>
    <w:p w14:paraId="3AC3EFBF" w14:textId="77777777" w:rsidR="00833A16" w:rsidRPr="00833A16" w:rsidRDefault="00833A16" w:rsidP="00833A16">
      <w:pPr>
        <w:numPr>
          <w:ilvl w:val="0"/>
          <w:numId w:val="7"/>
        </w:numPr>
      </w:pPr>
      <w:r w:rsidRPr="00833A16">
        <w:t>Acrescentar precipitação e temperatura mínima por região (Sul de Minas, Mogiana, Cerrado Mineiro, Espírito Santo), alertas de geada e a fase do ENSO como regime.</w:t>
      </w:r>
    </w:p>
    <w:p w14:paraId="09D14DCE" w14:textId="77777777" w:rsidR="00833A16" w:rsidRPr="00833A16" w:rsidRDefault="00833A16" w:rsidP="00833A16">
      <w:pPr>
        <w:numPr>
          <w:ilvl w:val="0"/>
          <w:numId w:val="7"/>
        </w:numPr>
      </w:pPr>
      <w:r w:rsidRPr="00833A16">
        <w:t>Manter o VHI como indicador de saúde da vegetação, com peso menor.</w:t>
      </w:r>
    </w:p>
    <w:p w14:paraId="3DA27C07" w14:textId="77777777" w:rsidR="00833A16" w:rsidRPr="00833A16" w:rsidRDefault="00833A16" w:rsidP="00833A16">
      <w:pPr>
        <w:numPr>
          <w:ilvl w:val="0"/>
          <w:numId w:val="7"/>
        </w:numPr>
      </w:pPr>
      <w:r w:rsidRPr="00833A16">
        <w:t>Enquanto o dado estiver insuficiente, o fator não vota.</w:t>
      </w:r>
    </w:p>
    <w:p w14:paraId="1D7CE81F" w14:textId="77777777" w:rsidR="00833A16" w:rsidRPr="00833A16" w:rsidRDefault="00833A16" w:rsidP="00833A16">
      <w:r w:rsidRPr="00833A16">
        <w:rPr>
          <w:b/>
          <w:bCs/>
        </w:rPr>
        <w:t>Fontes:</w:t>
      </w:r>
      <w:r w:rsidRPr="00833A16">
        <w:t xml:space="preserve"> INMET (BDMEP e alertas de geada); ANA (</w:t>
      </w:r>
      <w:proofErr w:type="spellStart"/>
      <w:r w:rsidRPr="00833A16">
        <w:t>Hidroweb</w:t>
      </w:r>
      <w:proofErr w:type="spellEnd"/>
      <w:r w:rsidRPr="00833A16">
        <w:t>); NOAA STAR (VHI); NOAA CPC (ENSO).</w:t>
      </w:r>
    </w:p>
    <w:p w14:paraId="5BE19CFD" w14:textId="77777777" w:rsidR="00833A16" w:rsidRPr="00833A16" w:rsidRDefault="00833A16" w:rsidP="00833A16">
      <w:r w:rsidRPr="00833A16">
        <w:pict w14:anchorId="2671C9EF">
          <v:rect id="_x0000_i1133" style="width:0;height:0" o:hralign="center" o:hrstd="t" o:hr="t" fillcolor="#a0a0a0" stroked="f"/>
        </w:pict>
      </w:r>
    </w:p>
    <w:p w14:paraId="79508ACC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E7. F2 Safra Conab</w:t>
      </w:r>
    </w:p>
    <w:p w14:paraId="21E99BBD" w14:textId="77777777" w:rsidR="00833A16" w:rsidRPr="00833A16" w:rsidRDefault="00833A16" w:rsidP="00833A16">
      <w:r w:rsidRPr="00833A16">
        <w:rPr>
          <w:b/>
          <w:bCs/>
        </w:rPr>
        <w:t>Problema:</w:t>
      </w:r>
      <w:r w:rsidRPr="00833A16">
        <w:t xml:space="preserve"> o fator usa a revisão contra o levantamento anterior (+5,33%) e a safra em nível (48,2 milhões de sacas, +34,8% sobre 2025). O mercado já descontou esse número. O levantamento tem 25 dias, e a lista marca o dado como insuficiente.</w:t>
      </w:r>
    </w:p>
    <w:p w14:paraId="1A085D3B" w14:textId="77777777" w:rsidR="00833A16" w:rsidRPr="00833A16" w:rsidRDefault="00833A16" w:rsidP="00833A16">
      <w:r w:rsidRPr="00833A16">
        <w:rPr>
          <w:b/>
          <w:bCs/>
        </w:rPr>
        <w:t>O que fazer:</w:t>
      </w:r>
    </w:p>
    <w:p w14:paraId="4DED636B" w14:textId="77777777" w:rsidR="00833A16" w:rsidRPr="00833A16" w:rsidRDefault="00833A16" w:rsidP="00833A16">
      <w:pPr>
        <w:numPr>
          <w:ilvl w:val="0"/>
          <w:numId w:val="8"/>
        </w:numPr>
      </w:pPr>
      <w:r w:rsidRPr="00833A16">
        <w:t xml:space="preserve">Medir a </w:t>
      </w:r>
      <w:r w:rsidRPr="00833A16">
        <w:rPr>
          <w:b/>
          <w:bCs/>
        </w:rPr>
        <w:t>surpresa</w:t>
      </w:r>
      <w:r w:rsidRPr="00833A16">
        <w:t>: Conab contra a expectativa de mercado (consenso de analistas e pesquisas de agências).</w:t>
      </w:r>
    </w:p>
    <w:p w14:paraId="270BE88C" w14:textId="77777777" w:rsidR="00833A16" w:rsidRPr="00833A16" w:rsidRDefault="00833A16" w:rsidP="00833A16">
      <w:pPr>
        <w:numPr>
          <w:ilvl w:val="0"/>
          <w:numId w:val="8"/>
        </w:numPr>
      </w:pPr>
      <w:r w:rsidRPr="00833A16">
        <w:t>Tratar o dado como evento: sinal forte por 1 a 2 semanas após a publicação, com decaimento depois.</w:t>
      </w:r>
    </w:p>
    <w:p w14:paraId="0EE51330" w14:textId="77777777" w:rsidR="00833A16" w:rsidRPr="00833A16" w:rsidRDefault="00833A16" w:rsidP="00833A16">
      <w:pPr>
        <w:numPr>
          <w:ilvl w:val="0"/>
          <w:numId w:val="8"/>
        </w:numPr>
      </w:pPr>
      <w:r w:rsidRPr="00833A16">
        <w:t>Manter o nível da safra apenas como contexto de longo prazo.</w:t>
      </w:r>
    </w:p>
    <w:p w14:paraId="051DC121" w14:textId="77777777" w:rsidR="00833A16" w:rsidRPr="00833A16" w:rsidRDefault="00833A16" w:rsidP="00833A16">
      <w:r w:rsidRPr="00833A16">
        <w:rPr>
          <w:b/>
          <w:bCs/>
        </w:rPr>
        <w:t>Fontes:</w:t>
      </w:r>
      <w:r w:rsidRPr="00833A16">
        <w:t xml:space="preserve"> Conab (Acompanhamento da Safra Brasileira de Café, quatro levantamentos por ano); Cepea/Esalq.</w:t>
      </w:r>
    </w:p>
    <w:p w14:paraId="6186B44D" w14:textId="77777777" w:rsidR="00833A16" w:rsidRPr="00833A16" w:rsidRDefault="00833A16" w:rsidP="00833A16">
      <w:r w:rsidRPr="00833A16">
        <w:pict w14:anchorId="765C9489">
          <v:rect id="_x0000_i1134" style="width:0;height:0" o:hralign="center" o:hrstd="t" o:hr="t" fillcolor="#a0a0a0" stroked="f"/>
        </w:pict>
      </w:r>
    </w:p>
    <w:p w14:paraId="07BFD959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E8. F4 Câmbio</w:t>
      </w:r>
    </w:p>
    <w:p w14:paraId="6601E9F8" w14:textId="77777777" w:rsidR="00833A16" w:rsidRPr="00833A16" w:rsidRDefault="00833A16" w:rsidP="00833A16">
      <w:r w:rsidRPr="00833A16">
        <w:rPr>
          <w:b/>
          <w:bCs/>
        </w:rPr>
        <w:t>Problema:</w:t>
      </w:r>
      <w:r w:rsidRPr="00833A16">
        <w:t xml:space="preserve"> o motor mostra que o câmbio não separa o preço (52% contra 48% da média). O peso Médio está acima da evidência. A lista descreve impacto "misto no KC", o que indica relação instável.</w:t>
      </w:r>
    </w:p>
    <w:p w14:paraId="7279C999" w14:textId="77777777" w:rsidR="00833A16" w:rsidRPr="00833A16" w:rsidRDefault="00833A16" w:rsidP="00833A16">
      <w:r w:rsidRPr="00833A16">
        <w:rPr>
          <w:b/>
          <w:bCs/>
        </w:rPr>
        <w:t>O que fazer:</w:t>
      </w:r>
    </w:p>
    <w:p w14:paraId="4537F21C" w14:textId="77777777" w:rsidR="00833A16" w:rsidRPr="00833A16" w:rsidRDefault="00833A16" w:rsidP="00833A16">
      <w:pPr>
        <w:numPr>
          <w:ilvl w:val="0"/>
          <w:numId w:val="9"/>
        </w:numPr>
      </w:pPr>
      <w:r w:rsidRPr="00833A16">
        <w:t>Reduzir o peso para Baixo.</w:t>
      </w:r>
    </w:p>
    <w:p w14:paraId="0E4FFC02" w14:textId="77777777" w:rsidR="00833A16" w:rsidRPr="00833A16" w:rsidRDefault="00833A16" w:rsidP="00833A16">
      <w:pPr>
        <w:numPr>
          <w:ilvl w:val="0"/>
          <w:numId w:val="9"/>
        </w:numPr>
      </w:pPr>
      <w:r w:rsidRPr="00833A16">
        <w:t xml:space="preserve">Trocar o câmbio isolado pelo </w:t>
      </w:r>
      <w:r w:rsidRPr="00833A16">
        <w:rPr>
          <w:b/>
          <w:bCs/>
        </w:rPr>
        <w:t>preço real</w:t>
      </w:r>
      <w:r w:rsidRPr="00833A16">
        <w:t>: arábica do Cepea em R$ comparado ao ICF em R$. Quando o preço real cai em relação ao custo de oportunidade, o produtor tende a segurar a oferta.</w:t>
      </w:r>
    </w:p>
    <w:p w14:paraId="2D83986B" w14:textId="77777777" w:rsidR="00833A16" w:rsidRPr="00833A16" w:rsidRDefault="00833A16" w:rsidP="00833A16">
      <w:r w:rsidRPr="00833A16">
        <w:rPr>
          <w:b/>
          <w:bCs/>
        </w:rPr>
        <w:t>Fontes:</w:t>
      </w:r>
      <w:r w:rsidRPr="00833A16">
        <w:t xml:space="preserve"> BCB (PTAX e séries SGS); Cepea/Esalq.</w:t>
      </w:r>
    </w:p>
    <w:p w14:paraId="2C7B037C" w14:textId="77777777" w:rsidR="00833A16" w:rsidRPr="00833A16" w:rsidRDefault="00833A16" w:rsidP="00833A16">
      <w:r w:rsidRPr="00833A16">
        <w:lastRenderedPageBreak/>
        <w:pict w14:anchorId="58BB4D3F">
          <v:rect id="_x0000_i1135" style="width:0;height:0" o:hralign="center" o:hrstd="t" o:hr="t" fillcolor="#a0a0a0" stroked="f"/>
        </w:pict>
      </w:r>
    </w:p>
    <w:p w14:paraId="064171E2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E9. F5 Custo e margem</w:t>
      </w:r>
    </w:p>
    <w:p w14:paraId="17BAA9AB" w14:textId="77777777" w:rsidR="00833A16" w:rsidRPr="00833A16" w:rsidRDefault="00833A16" w:rsidP="00833A16">
      <w:r w:rsidRPr="00833A16">
        <w:rPr>
          <w:b/>
          <w:bCs/>
        </w:rPr>
        <w:t>Problema:</w:t>
      </w:r>
      <w:r w:rsidRPr="00833A16">
        <w:t xml:space="preserve"> a regra de baixa exige dois anos de histórico, e o custo só é conhecido na base desde 01/10/2026. O fator fica neutro por construção.</w:t>
      </w:r>
    </w:p>
    <w:p w14:paraId="6F0BD24B" w14:textId="77777777" w:rsidR="00833A16" w:rsidRPr="00833A16" w:rsidRDefault="00833A16" w:rsidP="00833A16">
      <w:r w:rsidRPr="00833A16">
        <w:rPr>
          <w:b/>
          <w:bCs/>
        </w:rPr>
        <w:t>O que fazer:</w:t>
      </w:r>
      <w:r w:rsidRPr="00833A16">
        <w:t xml:space="preserve"> usar como contexto de piso no horizonte acima de 90 dias. Quando o preço se aproxima do custo operacional, a oferta tende a cair no médio prazo. Não deve gerar sinal diário.</w:t>
      </w:r>
    </w:p>
    <w:p w14:paraId="338F8AE5" w14:textId="77777777" w:rsidR="00833A16" w:rsidRPr="00833A16" w:rsidRDefault="00833A16" w:rsidP="00833A16">
      <w:r w:rsidRPr="00833A16">
        <w:rPr>
          <w:b/>
          <w:bCs/>
        </w:rPr>
        <w:t>Fontes:</w:t>
      </w:r>
      <w:r w:rsidRPr="00833A16">
        <w:t xml:space="preserve"> Conab (custo de produção do arábica, anual, por município).</w:t>
      </w:r>
    </w:p>
    <w:p w14:paraId="24D05294" w14:textId="77777777" w:rsidR="00833A16" w:rsidRPr="00833A16" w:rsidRDefault="00833A16" w:rsidP="00833A16">
      <w:r w:rsidRPr="00833A16">
        <w:pict w14:anchorId="248F3EEF">
          <v:rect id="_x0000_i1136" style="width:0;height:0" o:hralign="center" o:hrstd="t" o:hr="t" fillcolor="#a0a0a0" stroked="f"/>
        </w:pict>
      </w:r>
    </w:p>
    <w:p w14:paraId="66FCB402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E10. Fatores ausentes</w:t>
      </w:r>
    </w:p>
    <w:tbl>
      <w:tblPr>
        <w:tblW w:w="1388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1"/>
        <w:gridCol w:w="6934"/>
        <w:gridCol w:w="1614"/>
        <w:gridCol w:w="3260"/>
      </w:tblGrid>
      <w:tr w:rsidR="00833A16" w:rsidRPr="00833A16" w14:paraId="7BE89974" w14:textId="77777777" w:rsidTr="00833A1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7928C11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Novo fator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C142BC3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Definição</w:t>
            </w:r>
          </w:p>
        </w:tc>
        <w:tc>
          <w:tcPr>
            <w:tcW w:w="16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CDFAB89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Fonte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BC47C7D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Horizonte</w:t>
            </w:r>
          </w:p>
        </w:tc>
      </w:tr>
      <w:tr w:rsidR="00833A16" w:rsidRPr="00833A16" w14:paraId="60B1AF63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553F36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Momentum de preço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0AC63A6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Retorno de 5, 20 e 60 dias, normalizado pela volatilidade</w:t>
            </w:r>
          </w:p>
        </w:tc>
        <w:tc>
          <w:tcPr>
            <w:tcW w:w="16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0778C8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B3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556095A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Curto e médio</w:t>
            </w:r>
          </w:p>
        </w:tc>
      </w:tr>
      <w:tr w:rsidR="00833A16" w:rsidRPr="00833A16" w14:paraId="41FAD10C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BA2662C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Estrutura a termo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0366D7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Spread entre vencimentos consecutivos (</w:t>
            </w:r>
            <w:proofErr w:type="spellStart"/>
            <w:r w:rsidRPr="00833A16">
              <w:t>backwardation</w:t>
            </w:r>
            <w:proofErr w:type="spellEnd"/>
            <w:r w:rsidRPr="00833A16">
              <w:t xml:space="preserve"> ou </w:t>
            </w:r>
            <w:proofErr w:type="spellStart"/>
            <w:r w:rsidRPr="00833A16">
              <w:t>contango</w:t>
            </w:r>
            <w:proofErr w:type="spellEnd"/>
            <w:r w:rsidRPr="00833A16">
              <w:t>)</w:t>
            </w:r>
          </w:p>
        </w:tc>
        <w:tc>
          <w:tcPr>
            <w:tcW w:w="16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3125303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B3 e ICE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1075954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Curto e médio</w:t>
            </w:r>
          </w:p>
        </w:tc>
      </w:tr>
      <w:tr w:rsidR="00833A16" w:rsidRPr="00833A16" w14:paraId="6B8089EF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E32888F" w14:textId="77777777" w:rsidR="00833A16" w:rsidRPr="00833A16" w:rsidRDefault="00833A16" w:rsidP="00833A16">
            <w:pPr>
              <w:spacing w:after="0"/>
              <w:jc w:val="center"/>
            </w:pPr>
            <w:proofErr w:type="spellStart"/>
            <w:r w:rsidRPr="00833A16">
              <w:t>Basis</w:t>
            </w:r>
            <w:proofErr w:type="spellEnd"/>
            <w:r w:rsidRPr="00833A16">
              <w:t xml:space="preserve"> B3 × 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3ADAF9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Diferença entre ICF e KC convertido, com percentil histórico</w:t>
            </w:r>
          </w:p>
        </w:tc>
        <w:tc>
          <w:tcPr>
            <w:tcW w:w="16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9350A7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B3 e ICE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2DE76C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Curto</w:t>
            </w:r>
          </w:p>
        </w:tc>
      </w:tr>
      <w:tr w:rsidR="00833A16" w:rsidRPr="00833A16" w14:paraId="14BC1113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D38928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Oferta colombiana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E59424B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Produção mensal e revisões, em relação à expectativa</w:t>
            </w:r>
          </w:p>
        </w:tc>
        <w:tc>
          <w:tcPr>
            <w:tcW w:w="16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1511283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FNC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E3FE836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Médio</w:t>
            </w:r>
          </w:p>
        </w:tc>
      </w:tr>
      <w:tr w:rsidR="00833A16" w:rsidRPr="00833A16" w14:paraId="167756DB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DE7C063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Sazonalidade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ECC53D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Retorno médio do mês em anos anteriores</w:t>
            </w:r>
          </w:p>
        </w:tc>
        <w:tc>
          <w:tcPr>
            <w:tcW w:w="16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FB863C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B3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FD9ED73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Médio</w:t>
            </w:r>
          </w:p>
        </w:tc>
      </w:tr>
      <w:tr w:rsidR="00833A16" w:rsidRPr="00833A16" w14:paraId="386151D2" w14:textId="77777777" w:rsidTr="00833A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B4BCF9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Volatilidade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668EC3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ATR ou desvio padrão para dimensionar sinal e posição</w:t>
            </w:r>
          </w:p>
        </w:tc>
        <w:tc>
          <w:tcPr>
            <w:tcW w:w="16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23AD1B9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B3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58C7495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Todos</w:t>
            </w:r>
          </w:p>
        </w:tc>
      </w:tr>
    </w:tbl>
    <w:p w14:paraId="088CA907" w14:textId="77777777" w:rsidR="00833A16" w:rsidRPr="00833A16" w:rsidRDefault="00833A16" w:rsidP="00833A16">
      <w:r w:rsidRPr="00833A16">
        <w:t>O momentum merece atenção especial: a alta de 11,6% em 30 dias não entra no cálculo atual, e é justamente o movimento que o sistema não explica.</w:t>
      </w:r>
    </w:p>
    <w:p w14:paraId="173D2CD0" w14:textId="77777777" w:rsidR="00833A16" w:rsidRPr="00833A16" w:rsidRDefault="00833A16" w:rsidP="00833A16">
      <w:r w:rsidRPr="00833A16">
        <w:pict w14:anchorId="266E1085">
          <v:rect id="_x0000_i1137" style="width:0;height:0" o:hralign="center" o:hrstd="t" o:hr="t" fillcolor="#a0a0a0" stroked="f"/>
        </w:pict>
      </w:r>
    </w:p>
    <w:p w14:paraId="20ECF50A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E11. Mistura de contratos nos horizontes (novo)</w:t>
      </w:r>
    </w:p>
    <w:p w14:paraId="3D81536E" w14:textId="77777777" w:rsidR="00833A16" w:rsidRPr="00833A16" w:rsidRDefault="00833A16" w:rsidP="00833A16">
      <w:r w:rsidRPr="00833A16">
        <w:rPr>
          <w:b/>
          <w:bCs/>
        </w:rPr>
        <w:t>Problema:</w:t>
      </w:r>
      <w:r w:rsidRPr="00833A16">
        <w:t xml:space="preserve"> o motor mede o horizonte de 90 dias no ICFH27 (</w:t>
      </w:r>
      <w:r w:rsidRPr="00833A16">
        <w:rPr>
          <w:b/>
          <w:bCs/>
        </w:rPr>
        <w:t>US$ 370,95</w:t>
      </w:r>
      <w:r w:rsidRPr="00833A16">
        <w:t>), enquanto os demais horizontes usam o ICFZ26 (</w:t>
      </w:r>
      <w:r w:rsidRPr="00833A16">
        <w:rPr>
          <w:b/>
          <w:bCs/>
        </w:rPr>
        <w:t>US$ 377,10</w:t>
      </w:r>
      <w:r w:rsidRPr="00833A16">
        <w:t xml:space="preserve">). A variação de 90 dias (+1,75% no ICFZ26 contra +4,21% no ICFH27 desde a referência) mistura tendência com a diferença entre vencimentos. A </w:t>
      </w:r>
      <w:proofErr w:type="spellStart"/>
      <w:r w:rsidRPr="00833A16">
        <w:t>backwardation</w:t>
      </w:r>
      <w:proofErr w:type="spellEnd"/>
      <w:r w:rsidRPr="00833A16">
        <w:t xml:space="preserve"> de 1,6% entra como se fosse movimento de preço.</w:t>
      </w:r>
    </w:p>
    <w:p w14:paraId="256A71CA" w14:textId="77777777" w:rsidR="00833A16" w:rsidRPr="00833A16" w:rsidRDefault="00833A16" w:rsidP="00833A16">
      <w:r w:rsidRPr="00833A16">
        <w:rPr>
          <w:b/>
          <w:bCs/>
        </w:rPr>
        <w:t>O que fazer:</w:t>
      </w:r>
    </w:p>
    <w:p w14:paraId="7F9C0927" w14:textId="54FC3EC4" w:rsidR="00833A16" w:rsidRPr="00833A16" w:rsidRDefault="00833A16" w:rsidP="00833A16">
      <w:pPr>
        <w:numPr>
          <w:ilvl w:val="0"/>
          <w:numId w:val="10"/>
        </w:numPr>
      </w:pPr>
      <w:r w:rsidRPr="00833A16">
        <w:t>Medir todos os horizontes no mesmo contrato, ou em série contínua ajustada pela rolagem (E1)</w:t>
      </w:r>
      <w:r>
        <w:t xml:space="preserve"> – UTILIZAR O ICFFUT (Avaliar se é possível)</w:t>
      </w:r>
    </w:p>
    <w:p w14:paraId="201814E8" w14:textId="77777777" w:rsidR="00833A16" w:rsidRPr="00833A16" w:rsidRDefault="00833A16" w:rsidP="00833A16">
      <w:pPr>
        <w:numPr>
          <w:ilvl w:val="0"/>
          <w:numId w:val="10"/>
        </w:numPr>
      </w:pPr>
      <w:r w:rsidRPr="00833A16">
        <w:lastRenderedPageBreak/>
        <w:t xml:space="preserve">Separar explicitamente a </w:t>
      </w:r>
      <w:r w:rsidRPr="00833A16">
        <w:rPr>
          <w:b/>
          <w:bCs/>
        </w:rPr>
        <w:t>variação de preço</w:t>
      </w:r>
      <w:r w:rsidRPr="00833A16">
        <w:t xml:space="preserve"> da </w:t>
      </w:r>
      <w:r w:rsidRPr="00833A16">
        <w:rPr>
          <w:b/>
          <w:bCs/>
        </w:rPr>
        <w:t>variação de estrutura</w:t>
      </w:r>
      <w:r w:rsidRPr="00833A16">
        <w:t xml:space="preserve"> (spread entre vencimentos). </w:t>
      </w:r>
      <w:proofErr w:type="gramStart"/>
      <w:r w:rsidRPr="00833A16">
        <w:t>Cada uma vira</w:t>
      </w:r>
      <w:proofErr w:type="gramEnd"/>
      <w:r w:rsidRPr="00833A16">
        <w:t xml:space="preserve"> um fator próprio.</w:t>
      </w:r>
    </w:p>
    <w:p w14:paraId="56E6C5F2" w14:textId="77777777" w:rsidR="00833A16" w:rsidRPr="00833A16" w:rsidRDefault="00833A16" w:rsidP="00833A16">
      <w:pPr>
        <w:numPr>
          <w:ilvl w:val="0"/>
          <w:numId w:val="10"/>
        </w:numPr>
      </w:pPr>
      <w:r w:rsidRPr="00833A16">
        <w:t>Registrar no relatório o contrato usado em cada horizonte.</w:t>
      </w:r>
    </w:p>
    <w:p w14:paraId="6E44C18F" w14:textId="77777777" w:rsidR="00833A16" w:rsidRPr="00833A16" w:rsidRDefault="00833A16" w:rsidP="00833A16">
      <w:r w:rsidRPr="00833A16">
        <w:rPr>
          <w:b/>
          <w:bCs/>
        </w:rPr>
        <w:t>Critério de aceite:</w:t>
      </w:r>
      <w:r w:rsidRPr="00833A16">
        <w:t xml:space="preserve"> nenhum horizonte mede variação de preço cruzando dois contratos sem ajuste.</w:t>
      </w:r>
    </w:p>
    <w:p w14:paraId="5EC27353" w14:textId="77777777" w:rsidR="00833A16" w:rsidRPr="00833A16" w:rsidRDefault="00833A16" w:rsidP="00833A16">
      <w:r w:rsidRPr="00833A16">
        <w:pict w14:anchorId="677C92E9">
          <v:rect id="_x0000_i1138" style="width:0;height:0" o:hralign="center" o:hrstd="t" o:hr="t" fillcolor="#a0a0a0" stroked="f"/>
        </w:pict>
      </w:r>
    </w:p>
    <w:p w14:paraId="64CF120A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3. Nova estrutura de fatores e pesos</w:t>
      </w:r>
    </w:p>
    <w:p w14:paraId="76F3F022" w14:textId="77777777" w:rsidR="00833A16" w:rsidRPr="00833A16" w:rsidRDefault="00833A16" w:rsidP="00833A16">
      <w:r w:rsidRPr="00833A16">
        <w:t xml:space="preserve">Os pesos abaixo são </w:t>
      </w:r>
      <w:r w:rsidRPr="00833A16">
        <w:rPr>
          <w:b/>
          <w:bCs/>
        </w:rPr>
        <w:t xml:space="preserve">hipóteses iniciais para </w:t>
      </w:r>
      <w:proofErr w:type="spellStart"/>
      <w:r w:rsidRPr="00833A16">
        <w:rPr>
          <w:b/>
          <w:bCs/>
        </w:rPr>
        <w:t>backtest</w:t>
      </w:r>
      <w:proofErr w:type="spellEnd"/>
      <w:r w:rsidRPr="00833A16">
        <w:t>, não valores definitivos. Cada horizonte soma 100%.</w:t>
      </w:r>
    </w:p>
    <w:tbl>
      <w:tblPr>
        <w:tblW w:w="147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2"/>
        <w:gridCol w:w="1265"/>
        <w:gridCol w:w="1441"/>
        <w:gridCol w:w="1819"/>
        <w:gridCol w:w="1559"/>
        <w:gridCol w:w="5103"/>
      </w:tblGrid>
      <w:tr w:rsidR="00833A16" w:rsidRPr="00833A16" w14:paraId="5263983E" w14:textId="77777777" w:rsidTr="00833A16">
        <w:trPr>
          <w:tblHeader/>
        </w:trPr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75034C7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Fator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B05637A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Peso atual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8C6071B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Curto (1 a 7 dias)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00B4ABC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Médio (30 dias)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C3EE36A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Longo (90 dias)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3A74089" w14:textId="77777777" w:rsidR="00833A16" w:rsidRPr="00833A16" w:rsidRDefault="00833A16" w:rsidP="00833A1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Papel proposto</w:t>
            </w:r>
          </w:p>
        </w:tc>
      </w:tr>
      <w:tr w:rsidR="00833A16" w:rsidRPr="00833A16" w14:paraId="7E5423D0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1D45F8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Momentum e estrutura a termo (novo)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B60E806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—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FB21A4D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20%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EA7D9E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860771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0%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7C6BD2C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Tendência e aperto</w:t>
            </w:r>
          </w:p>
        </w:tc>
      </w:tr>
      <w:tr w:rsidR="00833A16" w:rsidRPr="00833A16" w14:paraId="29B039E0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CEED2CD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F3 Estoques (redefinido)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11A069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Alto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E7AF1D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15%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D9DC1F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15%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8270549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C02923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Aperto de oferta</w:t>
            </w:r>
          </w:p>
        </w:tc>
      </w:tr>
      <w:tr w:rsidR="00833A16" w:rsidRPr="00833A16" w14:paraId="497A95F3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8A8FD7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Eventos de oferta (novo)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60FEBA9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—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BD085CB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15%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9A9769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537616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0%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89FE756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Choques</w:t>
            </w:r>
          </w:p>
        </w:tc>
      </w:tr>
      <w:tr w:rsidR="00833A16" w:rsidRPr="00833A16" w14:paraId="3638FA92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ED75E9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F1 Clima (condicional)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754ECD3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Alto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00E1B05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15%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82F436B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15%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83A26FC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9F63AC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Regime sazonal</w:t>
            </w:r>
          </w:p>
        </w:tc>
      </w:tr>
      <w:tr w:rsidR="00833A16" w:rsidRPr="00833A16" w14:paraId="5B8842E5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2F1819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F2 Conab (surpresa)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60458F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Alto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FD4D10C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5%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264756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20%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2F7D0AC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25%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80D266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Revisão de safra</w:t>
            </w:r>
          </w:p>
        </w:tc>
      </w:tr>
      <w:tr w:rsidR="00833A16" w:rsidRPr="00833A16" w14:paraId="25A066F7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57B2B7A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Colômbia (novo)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13FAA75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—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27B1AC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7BE263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4CC1C1D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5%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55F572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Oferta concorrente</w:t>
            </w:r>
          </w:p>
        </w:tc>
      </w:tr>
      <w:tr w:rsidR="00833A16" w:rsidRPr="00833A16" w14:paraId="467C4269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59AD0C0" w14:textId="77777777" w:rsidR="00833A16" w:rsidRPr="00833A16" w:rsidRDefault="00833A16" w:rsidP="00833A16">
            <w:pPr>
              <w:spacing w:after="0"/>
              <w:jc w:val="center"/>
            </w:pPr>
            <w:proofErr w:type="spellStart"/>
            <w:r w:rsidRPr="00833A16">
              <w:t>Basis</w:t>
            </w:r>
            <w:proofErr w:type="spellEnd"/>
            <w:r w:rsidRPr="00833A16">
              <w:t xml:space="preserve"> B3 × NY (novo)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F47000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—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1D837A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EDBBCF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5%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EEC10AA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0%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1481C8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Ajuste de base</w:t>
            </w:r>
          </w:p>
        </w:tc>
      </w:tr>
      <w:tr w:rsidR="00833A16" w:rsidRPr="00833A16" w14:paraId="54A4DB56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80C9349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Sazonalidade (novo)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57B0DF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—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CD4A52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0%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4CFFDB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5%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A4532B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0%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BB688A4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Padrão anual</w:t>
            </w:r>
          </w:p>
        </w:tc>
      </w:tr>
      <w:tr w:rsidR="00833A16" w:rsidRPr="00833A16" w14:paraId="21D1916B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37F517A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F4 Câmbio e preço real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66589FD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Médio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06B927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5%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9DFAE9D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5%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53A716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E1DA1B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Incentivo ao produtor</w:t>
            </w:r>
          </w:p>
        </w:tc>
      </w:tr>
      <w:tr w:rsidR="00833A16" w:rsidRPr="00833A16" w14:paraId="664479B6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FC4889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F8 Juros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1B8F714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Baixo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FEB753D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5%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6FD56C4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5%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FF65A1E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8EC2497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Custo de carregar</w:t>
            </w:r>
          </w:p>
        </w:tc>
      </w:tr>
      <w:tr w:rsidR="00833A16" w:rsidRPr="00833A16" w14:paraId="2E1484E9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BFE388B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F6 Demanda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2CC2F40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Médio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E3D5C6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0%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30DBC9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0%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10803E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15%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B89BC95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Tendência estrutural</w:t>
            </w:r>
          </w:p>
        </w:tc>
      </w:tr>
      <w:tr w:rsidR="00833A16" w:rsidRPr="00833A16" w14:paraId="76325585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43B9DE2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lastRenderedPageBreak/>
              <w:t>F5 Custo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E24CCA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Médio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4CB1B0C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0%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ED97E0A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0%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8C527F1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10%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E9A0803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Piso de longo prazo</w:t>
            </w:r>
          </w:p>
        </w:tc>
      </w:tr>
      <w:tr w:rsidR="00833A16" w:rsidRPr="00833A16" w14:paraId="69968FB1" w14:textId="77777777" w:rsidTr="00833A16">
        <w:tc>
          <w:tcPr>
            <w:tcW w:w="3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407C808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F7 Fundos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9917FF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Médio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DE8301B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Modificador</w:t>
            </w:r>
          </w:p>
        </w:tc>
        <w:tc>
          <w:tcPr>
            <w:tcW w:w="1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F8A46CF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Modificador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6CB6C96" w14:textId="77777777" w:rsidR="00833A16" w:rsidRPr="00833A16" w:rsidRDefault="00833A16" w:rsidP="00833A16">
            <w:pPr>
              <w:spacing w:after="0"/>
              <w:jc w:val="center"/>
            </w:pPr>
            <w:r w:rsidRPr="00833A16">
              <w:t>5%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51173DB" w14:textId="77777777" w:rsidR="00833A16" w:rsidRPr="00833A16" w:rsidRDefault="00833A16" w:rsidP="00833A16">
            <w:pPr>
              <w:spacing w:after="0"/>
              <w:jc w:val="center"/>
            </w:pPr>
            <w:proofErr w:type="spellStart"/>
            <w:r w:rsidRPr="00833A16">
              <w:t>Crowding</w:t>
            </w:r>
            <w:proofErr w:type="spellEnd"/>
          </w:p>
        </w:tc>
      </w:tr>
    </w:tbl>
    <w:p w14:paraId="50137229" w14:textId="77777777" w:rsidR="00833A16" w:rsidRPr="00833A16" w:rsidRDefault="00833A16" w:rsidP="00833A16">
      <w:r w:rsidRPr="00833A16">
        <w:rPr>
          <w:b/>
          <w:bCs/>
        </w:rPr>
        <w:t>Totais:</w:t>
      </w:r>
      <w:r w:rsidRPr="00833A16">
        <w:t xml:space="preserve"> curto = 100%; médio = 100%; longo = 100%.</w:t>
      </w:r>
    </w:p>
    <w:p w14:paraId="150F6836" w14:textId="77777777" w:rsidR="00833A16" w:rsidRPr="00833A16" w:rsidRDefault="00833A16" w:rsidP="00833A16">
      <w:r w:rsidRPr="00833A16">
        <w:rPr>
          <w:b/>
          <w:bCs/>
        </w:rPr>
        <w:t>Regras de aplicação:</w:t>
      </w:r>
    </w:p>
    <w:p w14:paraId="0B1DA6E1" w14:textId="77777777" w:rsidR="00833A16" w:rsidRPr="00833A16" w:rsidRDefault="00833A16" w:rsidP="00833A16">
      <w:pPr>
        <w:numPr>
          <w:ilvl w:val="0"/>
          <w:numId w:val="11"/>
        </w:numPr>
      </w:pPr>
      <w:r w:rsidRPr="00833A16">
        <w:t>Fator com status "dado insuficiente" não vota até o dado ser corrigido.</w:t>
      </w:r>
    </w:p>
    <w:p w14:paraId="0B97AF41" w14:textId="77777777" w:rsidR="00833A16" w:rsidRPr="00833A16" w:rsidRDefault="00833A16" w:rsidP="00833A16">
      <w:pPr>
        <w:numPr>
          <w:ilvl w:val="0"/>
          <w:numId w:val="11"/>
        </w:numPr>
      </w:pPr>
      <w:r w:rsidRPr="00833A16">
        <w:t>O F7 aplica o multiplicador $m$ sobre o sinal final, sem peso próprio nos horizontes curto e médio.</w:t>
      </w:r>
    </w:p>
    <w:p w14:paraId="552AF5DA" w14:textId="77777777" w:rsidR="00833A16" w:rsidRPr="00833A16" w:rsidRDefault="00833A16" w:rsidP="00833A16">
      <w:pPr>
        <w:numPr>
          <w:ilvl w:val="0"/>
          <w:numId w:val="11"/>
        </w:numPr>
      </w:pPr>
      <w:r w:rsidRPr="00833A16">
        <w:t>Todos os horizontes usam o mesmo contrato ou série ajustada (E11).</w:t>
      </w:r>
    </w:p>
    <w:p w14:paraId="6C269099" w14:textId="77777777" w:rsidR="00833A16" w:rsidRPr="00833A16" w:rsidRDefault="00833A16" w:rsidP="00833A16">
      <w:r w:rsidRPr="00833A16">
        <w:rPr>
          <w:b/>
          <w:bCs/>
        </w:rPr>
        <w:t>Leitura:</w:t>
      </w:r>
      <w:r w:rsidRPr="00833A16">
        <w:t xml:space="preserve"> no curto prazo, o sistema deixa de depender dos fatores lentos (F2 e F6) e passa a considerar tendência, estoques, eventos e </w:t>
      </w:r>
      <w:proofErr w:type="spellStart"/>
      <w:r w:rsidRPr="00833A16">
        <w:t>basis</w:t>
      </w:r>
      <w:proofErr w:type="spellEnd"/>
      <w:r w:rsidRPr="00833A16">
        <w:t>. Isso explica boa parte da divergência atual.</w:t>
      </w:r>
    </w:p>
    <w:p w14:paraId="1E8626B5" w14:textId="77777777" w:rsidR="00833A16" w:rsidRPr="00833A16" w:rsidRDefault="00833A16" w:rsidP="00833A16">
      <w:r w:rsidRPr="00833A16">
        <w:pict w14:anchorId="311CD142">
          <v:rect id="_x0000_i1139" style="width:0;height:0" o:hralign="center" o:hrstd="t" o:hr="t" fillcolor="#a0a0a0" stroked="f"/>
        </w:pict>
      </w:r>
    </w:p>
    <w:p w14:paraId="1B87C19A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4. Como verificar inversão de sinal</w:t>
      </w:r>
    </w:p>
    <w:p w14:paraId="421AEE3D" w14:textId="77777777" w:rsidR="00833A16" w:rsidRPr="00833A16" w:rsidRDefault="00833A16" w:rsidP="00833A16">
      <w:r w:rsidRPr="00833A16">
        <w:t>Uma inversão deve ser comprovada, não presumida.</w:t>
      </w:r>
    </w:p>
    <w:p w14:paraId="1E3263F8" w14:textId="77777777" w:rsidR="00833A16" w:rsidRPr="00833A16" w:rsidRDefault="00833A16" w:rsidP="00833A16">
      <w:r w:rsidRPr="00833A16">
        <w:rPr>
          <w:b/>
          <w:bCs/>
        </w:rPr>
        <w:t>Método:</w:t>
      </w:r>
    </w:p>
    <w:p w14:paraId="0E31D15A" w14:textId="77777777" w:rsidR="00833A16" w:rsidRPr="00833A16" w:rsidRDefault="00833A16" w:rsidP="00833A16">
      <w:pPr>
        <w:numPr>
          <w:ilvl w:val="0"/>
          <w:numId w:val="12"/>
        </w:numPr>
      </w:pPr>
      <w:r w:rsidRPr="00833A16">
        <w:t xml:space="preserve">Para cada fator, calcular o </w:t>
      </w:r>
      <w:proofErr w:type="spellStart"/>
      <w:r w:rsidRPr="00833A16">
        <w:rPr>
          <w:b/>
          <w:bCs/>
        </w:rPr>
        <w:t>Information</w:t>
      </w:r>
      <w:proofErr w:type="spellEnd"/>
      <w:r w:rsidRPr="00833A16">
        <w:rPr>
          <w:b/>
          <w:bCs/>
        </w:rPr>
        <w:t xml:space="preserve"> </w:t>
      </w:r>
      <w:proofErr w:type="spellStart"/>
      <w:r w:rsidRPr="00833A16">
        <w:rPr>
          <w:b/>
          <w:bCs/>
        </w:rPr>
        <w:t>Coefficient</w:t>
      </w:r>
      <w:proofErr w:type="spellEnd"/>
      <w:r w:rsidRPr="00833A16">
        <w:t xml:space="preserve"> (correlação de </w:t>
      </w:r>
      <w:proofErr w:type="spellStart"/>
      <w:r w:rsidRPr="00833A16">
        <w:t>Spearman</w:t>
      </w:r>
      <w:proofErr w:type="spellEnd"/>
      <w:r w:rsidRPr="00833A16">
        <w:t xml:space="preserve"> entre o escore e o retorno futuro) nos horizontes de 1, 5, 20 e 60 dias.</w:t>
      </w:r>
    </w:p>
    <w:p w14:paraId="28391C46" w14:textId="77777777" w:rsidR="00833A16" w:rsidRPr="00833A16" w:rsidRDefault="00833A16" w:rsidP="00833A16">
      <w:pPr>
        <w:numPr>
          <w:ilvl w:val="0"/>
          <w:numId w:val="12"/>
        </w:numPr>
      </w:pPr>
      <w:r w:rsidRPr="00833A16">
        <w:t>Calcular em janelas móveis de 12 meses, para verificar estabilidade.</w:t>
      </w:r>
    </w:p>
    <w:p w14:paraId="31FE7436" w14:textId="77777777" w:rsidR="00833A16" w:rsidRPr="00833A16" w:rsidRDefault="00833A16" w:rsidP="00833A16">
      <w:pPr>
        <w:numPr>
          <w:ilvl w:val="0"/>
          <w:numId w:val="12"/>
        </w:numPr>
      </w:pPr>
      <w:r w:rsidRPr="00833A16">
        <w:t>Separar por regime: safra e entressafra, janela fenológica e alta ou baixa volatilidade.</w:t>
      </w:r>
    </w:p>
    <w:p w14:paraId="09BCF9BD" w14:textId="77777777" w:rsidR="00833A16" w:rsidRPr="00833A16" w:rsidRDefault="00833A16" w:rsidP="00833A16">
      <w:pPr>
        <w:numPr>
          <w:ilvl w:val="0"/>
          <w:numId w:val="12"/>
        </w:numPr>
      </w:pPr>
      <w:r w:rsidRPr="00833A16">
        <w:t>Testar fora da amostra (</w:t>
      </w:r>
      <w:proofErr w:type="spellStart"/>
      <w:r w:rsidRPr="00833A16">
        <w:t>walk-forward</w:t>
      </w:r>
      <w:proofErr w:type="spellEnd"/>
      <w:r w:rsidRPr="00833A16">
        <w:t xml:space="preserve">) e estimar significância com erros robustos (Newey-West) ou </w:t>
      </w:r>
      <w:proofErr w:type="spellStart"/>
      <w:r w:rsidRPr="00833A16">
        <w:t>bootstrap</w:t>
      </w:r>
      <w:proofErr w:type="spellEnd"/>
      <w:r w:rsidRPr="00833A16">
        <w:t xml:space="preserve"> em blocos, respeitando a autocorrelação dos retornos.</w:t>
      </w:r>
    </w:p>
    <w:p w14:paraId="31C56B07" w14:textId="77777777" w:rsidR="00833A16" w:rsidRPr="00833A16" w:rsidRDefault="00833A16" w:rsidP="00833A16">
      <w:r w:rsidRPr="00833A16">
        <w:rPr>
          <w:b/>
          <w:bCs/>
        </w:rPr>
        <w:t>Regra de decisão:</w:t>
      </w:r>
    </w:p>
    <w:p w14:paraId="7DA7BB30" w14:textId="77777777" w:rsidR="00833A16" w:rsidRPr="00833A16" w:rsidRDefault="00833A16" w:rsidP="00833A16">
      <w:pPr>
        <w:numPr>
          <w:ilvl w:val="0"/>
          <w:numId w:val="13"/>
        </w:numPr>
      </w:pPr>
      <w:r w:rsidRPr="00833A16">
        <w:t>IC negativo e estável por pelo menos 12 meses, dentro e fora da amostra: revisar a lógica do fator (possível inversão real).</w:t>
      </w:r>
    </w:p>
    <w:p w14:paraId="26C523DD" w14:textId="77777777" w:rsidR="00833A16" w:rsidRPr="00833A16" w:rsidRDefault="00833A16" w:rsidP="00833A16">
      <w:pPr>
        <w:numPr>
          <w:ilvl w:val="0"/>
          <w:numId w:val="13"/>
        </w:numPr>
      </w:pPr>
      <w:r w:rsidRPr="00833A16">
        <w:t>IC negativo em episódio isolado: manter o fator, sem inverter.</w:t>
      </w:r>
    </w:p>
    <w:p w14:paraId="73FD9FD6" w14:textId="77777777" w:rsidR="00833A16" w:rsidRPr="00833A16" w:rsidRDefault="00833A16" w:rsidP="00833A16">
      <w:pPr>
        <w:numPr>
          <w:ilvl w:val="0"/>
          <w:numId w:val="13"/>
        </w:numPr>
      </w:pPr>
      <w:r w:rsidRPr="00833A16">
        <w:t>IC indistinguível de zero: rebaixar o peso ou desligar.</w:t>
      </w:r>
    </w:p>
    <w:p w14:paraId="63E9CAAD" w14:textId="77777777" w:rsidR="00833A16" w:rsidRPr="00833A16" w:rsidRDefault="00833A16" w:rsidP="00833A16">
      <w:r w:rsidRPr="00833A16">
        <w:rPr>
          <w:b/>
          <w:bCs/>
        </w:rPr>
        <w:lastRenderedPageBreak/>
        <w:t>Aplicação ao caso:</w:t>
      </w:r>
    </w:p>
    <w:p w14:paraId="1B114B75" w14:textId="77777777" w:rsidR="00833A16" w:rsidRPr="00833A16" w:rsidRDefault="00833A16" w:rsidP="00833A16">
      <w:pPr>
        <w:numPr>
          <w:ilvl w:val="0"/>
          <w:numId w:val="14"/>
        </w:numPr>
      </w:pPr>
      <w:r w:rsidRPr="00833A16">
        <w:rPr>
          <w:b/>
          <w:bCs/>
        </w:rPr>
        <w:t>F7</w:t>
      </w:r>
      <w:r w:rsidRPr="00833A16">
        <w:t xml:space="preserve"> é o principal candidato. O teste de três versões (E4) vem primeiro.</w:t>
      </w:r>
    </w:p>
    <w:p w14:paraId="01887D9B" w14:textId="77777777" w:rsidR="00833A16" w:rsidRPr="00833A16" w:rsidRDefault="00833A16" w:rsidP="00833A16">
      <w:pPr>
        <w:numPr>
          <w:ilvl w:val="0"/>
          <w:numId w:val="14"/>
        </w:numPr>
      </w:pPr>
      <w:r w:rsidRPr="00833A16">
        <w:rPr>
          <w:b/>
          <w:bCs/>
        </w:rPr>
        <w:t>F1</w:t>
      </w:r>
      <w:r w:rsidRPr="00833A16">
        <w:t xml:space="preserve"> pode ter sinal que muda com a janela sazonal. A aparente inversão pode ser uma relação dependente de regime.</w:t>
      </w:r>
    </w:p>
    <w:p w14:paraId="6C475C54" w14:textId="77777777" w:rsidR="00833A16" w:rsidRPr="00833A16" w:rsidRDefault="00833A16" w:rsidP="00833A16">
      <w:pPr>
        <w:numPr>
          <w:ilvl w:val="0"/>
          <w:numId w:val="14"/>
        </w:numPr>
      </w:pPr>
      <w:r w:rsidRPr="00833A16">
        <w:rPr>
          <w:b/>
          <w:bCs/>
        </w:rPr>
        <w:t>F3</w:t>
      </w:r>
      <w:r w:rsidRPr="00833A16">
        <w:t xml:space="preserve"> provavelmente não está invertido, mas está </w:t>
      </w:r>
      <w:proofErr w:type="spellStart"/>
      <w:r w:rsidRPr="00833A16">
        <w:t>subponderado</w:t>
      </w:r>
      <w:proofErr w:type="spellEnd"/>
      <w:r w:rsidRPr="00833A16">
        <w:t xml:space="preserve"> e mal definido.</w:t>
      </w:r>
    </w:p>
    <w:p w14:paraId="08ADE520" w14:textId="77777777" w:rsidR="00833A16" w:rsidRPr="00833A16" w:rsidRDefault="00833A16" w:rsidP="00833A16">
      <w:pPr>
        <w:numPr>
          <w:ilvl w:val="0"/>
          <w:numId w:val="14"/>
        </w:numPr>
      </w:pPr>
      <w:r w:rsidRPr="00833A16">
        <w:rPr>
          <w:b/>
          <w:bCs/>
        </w:rPr>
        <w:t>F2 e F6</w:t>
      </w:r>
      <w:r w:rsidRPr="00833A16">
        <w:t xml:space="preserve"> têm sinal coerente com a teoria. O problema deles é de horizonte, não de direção.</w:t>
      </w:r>
    </w:p>
    <w:p w14:paraId="123BBD24" w14:textId="77777777" w:rsidR="00833A16" w:rsidRPr="00833A16" w:rsidRDefault="00833A16" w:rsidP="00833A16">
      <w:r w:rsidRPr="00833A16">
        <w:pict w14:anchorId="399497EF">
          <v:rect id="_x0000_i1140" style="width:0;height:0" o:hralign="center" o:hrstd="t" o:hr="t" fillcolor="#a0a0a0" stroked="f"/>
        </w:pict>
      </w:r>
    </w:p>
    <w:p w14:paraId="18D3D09E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5. Plano de implantação</w:t>
      </w:r>
    </w:p>
    <w:tbl>
      <w:tblPr>
        <w:tblW w:w="1516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9781"/>
        <w:gridCol w:w="4253"/>
      </w:tblGrid>
      <w:tr w:rsidR="00833A16" w:rsidRPr="00833A16" w14:paraId="151E8EE0" w14:textId="77777777" w:rsidTr="007647A6">
        <w:trPr>
          <w:tblHeader/>
          <w:jc w:val="center"/>
        </w:trPr>
        <w:tc>
          <w:tcPr>
            <w:tcW w:w="1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0F6FC44" w14:textId="77777777" w:rsidR="00833A16" w:rsidRPr="00833A16" w:rsidRDefault="00833A16" w:rsidP="007647A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Semana</w:t>
            </w:r>
          </w:p>
        </w:tc>
        <w:tc>
          <w:tcPr>
            <w:tcW w:w="97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E387F63" w14:textId="77777777" w:rsidR="00833A16" w:rsidRPr="00833A16" w:rsidRDefault="00833A16" w:rsidP="007647A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Entrega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87BEC22" w14:textId="77777777" w:rsidR="00833A16" w:rsidRPr="00833A16" w:rsidRDefault="00833A16" w:rsidP="007647A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Responsável sugerido</w:t>
            </w:r>
          </w:p>
        </w:tc>
      </w:tr>
      <w:tr w:rsidR="00833A16" w:rsidRPr="00833A16" w14:paraId="5A76939C" w14:textId="77777777" w:rsidTr="007647A6">
        <w:trPr>
          <w:jc w:val="center"/>
        </w:trPr>
        <w:tc>
          <w:tcPr>
            <w:tcW w:w="1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05BD588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1</w:t>
            </w:r>
          </w:p>
        </w:tc>
        <w:tc>
          <w:tcPr>
            <w:tcW w:w="97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E1B980C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 xml:space="preserve">Cadastrar ICFZ26 como contrato de referência; confirmar calendário de vencimento; corrigir </w:t>
            </w:r>
            <w:proofErr w:type="spellStart"/>
            <w:r w:rsidRPr="00833A16">
              <w:t>timestamp</w:t>
            </w:r>
            <w:proofErr w:type="spellEnd"/>
            <w:r w:rsidRPr="00833A16">
              <w:t xml:space="preserve"> e rolagem; conciliar B3 × ICE; resolver status "dado insuficiente" de F1, F2, F5 e F6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3A4F5CD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Dados</w:t>
            </w:r>
          </w:p>
        </w:tc>
      </w:tr>
      <w:tr w:rsidR="00833A16" w:rsidRPr="00833A16" w14:paraId="5CEB207C" w14:textId="77777777" w:rsidTr="007647A6">
        <w:trPr>
          <w:jc w:val="center"/>
        </w:trPr>
        <w:tc>
          <w:tcPr>
            <w:tcW w:w="1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209B538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2</w:t>
            </w:r>
          </w:p>
        </w:tc>
        <w:tc>
          <w:tcPr>
            <w:tcW w:w="97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979EE40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Pipeline de eventos com fontes primárias; ingestão de INMET, Conab, USDA, FNC e CFTC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5B5DCF9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Dados e análise</w:t>
            </w:r>
          </w:p>
        </w:tc>
      </w:tr>
      <w:tr w:rsidR="00833A16" w:rsidRPr="00833A16" w14:paraId="2A78D122" w14:textId="77777777" w:rsidTr="007647A6">
        <w:trPr>
          <w:jc w:val="center"/>
        </w:trPr>
        <w:tc>
          <w:tcPr>
            <w:tcW w:w="1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34A21C5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3</w:t>
            </w:r>
          </w:p>
        </w:tc>
        <w:tc>
          <w:tcPr>
            <w:tcW w:w="97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DFE4B8D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 xml:space="preserve">Redefinir F1, F3 e F7; </w:t>
            </w:r>
            <w:proofErr w:type="gramStart"/>
            <w:r w:rsidRPr="00833A16">
              <w:t>criar novos</w:t>
            </w:r>
            <w:proofErr w:type="gramEnd"/>
            <w:r w:rsidRPr="00833A16">
              <w:t xml:space="preserve"> fatores (momentum, estrutura, </w:t>
            </w:r>
            <w:proofErr w:type="spellStart"/>
            <w:r w:rsidRPr="00833A16">
              <w:t>basis</w:t>
            </w:r>
            <w:proofErr w:type="spellEnd"/>
            <w:r w:rsidRPr="00833A16">
              <w:t>, Colômbia, sazonalidade); corrigir mistura de contratos (E11)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FA5108C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Quant</w:t>
            </w:r>
          </w:p>
        </w:tc>
      </w:tr>
      <w:tr w:rsidR="00833A16" w:rsidRPr="00833A16" w14:paraId="698F6B63" w14:textId="77777777" w:rsidTr="007647A6">
        <w:trPr>
          <w:jc w:val="center"/>
        </w:trPr>
        <w:tc>
          <w:tcPr>
            <w:tcW w:w="1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7FBCC01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4</w:t>
            </w:r>
          </w:p>
        </w:tc>
        <w:tc>
          <w:tcPr>
            <w:tcW w:w="97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1CE4D95" w14:textId="77777777" w:rsidR="00833A16" w:rsidRPr="00833A16" w:rsidRDefault="00833A16" w:rsidP="007647A6">
            <w:pPr>
              <w:spacing w:after="0"/>
              <w:jc w:val="center"/>
            </w:pPr>
            <w:proofErr w:type="spellStart"/>
            <w:r w:rsidRPr="00833A16">
              <w:t>Backtest</w:t>
            </w:r>
            <w:proofErr w:type="spellEnd"/>
            <w:r w:rsidRPr="00833A16">
              <w:t xml:space="preserve"> com IC, </w:t>
            </w:r>
            <w:proofErr w:type="spellStart"/>
            <w:r w:rsidRPr="00833A16">
              <w:t>walk-forward</w:t>
            </w:r>
            <w:proofErr w:type="spellEnd"/>
            <w:r w:rsidRPr="00833A16">
              <w:t>, significância e teste das três versões do F7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283137D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Quant</w:t>
            </w:r>
          </w:p>
        </w:tc>
      </w:tr>
      <w:tr w:rsidR="00833A16" w:rsidRPr="00833A16" w14:paraId="5E1934EC" w14:textId="77777777" w:rsidTr="007647A6">
        <w:trPr>
          <w:jc w:val="center"/>
        </w:trPr>
        <w:tc>
          <w:tcPr>
            <w:tcW w:w="1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E17B205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5 a 8</w:t>
            </w:r>
          </w:p>
        </w:tc>
        <w:tc>
          <w:tcPr>
            <w:tcW w:w="97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E1549BA" w14:textId="77777777" w:rsidR="00833A16" w:rsidRPr="00833A16" w:rsidRDefault="00833A16" w:rsidP="007647A6">
            <w:pPr>
              <w:spacing w:after="0"/>
              <w:jc w:val="center"/>
            </w:pPr>
            <w:proofErr w:type="spellStart"/>
            <w:r w:rsidRPr="00833A16">
              <w:t>Paper</w:t>
            </w:r>
            <w:proofErr w:type="spellEnd"/>
            <w:r w:rsidRPr="00833A16">
              <w:t xml:space="preserve"> trading (sinal sem execução), com comparação diária contra o mercado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1BA2B3B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Trading</w:t>
            </w:r>
          </w:p>
        </w:tc>
      </w:tr>
      <w:tr w:rsidR="00833A16" w:rsidRPr="00833A16" w14:paraId="2928ECBF" w14:textId="77777777" w:rsidTr="007647A6">
        <w:trPr>
          <w:jc w:val="center"/>
        </w:trPr>
        <w:tc>
          <w:tcPr>
            <w:tcW w:w="11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8102E50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9</w:t>
            </w:r>
          </w:p>
        </w:tc>
        <w:tc>
          <w:tcPr>
            <w:tcW w:w="97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FCD5EBE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Decisão de implantação, com limites de risco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4B89B41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Comitê</w:t>
            </w:r>
          </w:p>
        </w:tc>
      </w:tr>
    </w:tbl>
    <w:p w14:paraId="220F36F4" w14:textId="77777777" w:rsidR="00833A16" w:rsidRPr="00833A16" w:rsidRDefault="00833A16" w:rsidP="00833A16">
      <w:r w:rsidRPr="00833A16">
        <w:pict w14:anchorId="14958631">
          <v:rect id="_x0000_i1141" style="width:0;height:0" o:hralign="center" o:hrstd="t" o:hr="t" fillcolor="#a0a0a0" stroked="f"/>
        </w:pict>
      </w:r>
    </w:p>
    <w:p w14:paraId="3CBBE0C5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6. Governança e controles</w:t>
      </w:r>
    </w:p>
    <w:p w14:paraId="0EAAACE7" w14:textId="77777777" w:rsidR="00833A16" w:rsidRPr="00833A16" w:rsidRDefault="00833A16" w:rsidP="00833A16">
      <w:pPr>
        <w:numPr>
          <w:ilvl w:val="0"/>
          <w:numId w:val="15"/>
        </w:numPr>
      </w:pPr>
      <w:r w:rsidRPr="00833A16">
        <w:rPr>
          <w:b/>
          <w:bCs/>
        </w:rPr>
        <w:t>Dado vencido:</w:t>
      </w:r>
      <w:r w:rsidRPr="00833A16">
        <w:t xml:space="preserve"> fator com idade acima do limite perde o direito de voto. Limites sugeridos: 2 dias para preço; 7 dias para estoques; 14 dias para clima; 30 dias para safra.</w:t>
      </w:r>
    </w:p>
    <w:p w14:paraId="44B7CA66" w14:textId="77777777" w:rsidR="00833A16" w:rsidRPr="00833A16" w:rsidRDefault="00833A16" w:rsidP="00833A16">
      <w:pPr>
        <w:numPr>
          <w:ilvl w:val="0"/>
          <w:numId w:val="15"/>
        </w:numPr>
      </w:pPr>
      <w:r w:rsidRPr="00833A16">
        <w:rPr>
          <w:b/>
          <w:bCs/>
        </w:rPr>
        <w:t>Dado insuficiente:</w:t>
      </w:r>
      <w:r w:rsidRPr="00833A16">
        <w:t xml:space="preserve"> fator nessa condição não vota e aparece como alerta no relatório.</w:t>
      </w:r>
    </w:p>
    <w:p w14:paraId="59DC7289" w14:textId="77777777" w:rsidR="00833A16" w:rsidRPr="00833A16" w:rsidRDefault="00833A16" w:rsidP="00833A16">
      <w:pPr>
        <w:numPr>
          <w:ilvl w:val="0"/>
          <w:numId w:val="15"/>
        </w:numPr>
      </w:pPr>
      <w:r w:rsidRPr="00833A16">
        <w:rPr>
          <w:b/>
          <w:bCs/>
        </w:rPr>
        <w:t>Contrato registrado:</w:t>
      </w:r>
      <w:r w:rsidRPr="00833A16">
        <w:t xml:space="preserve"> todo sinal informa o contrato usado em cada horizonte.</w:t>
      </w:r>
    </w:p>
    <w:p w14:paraId="7922D68B" w14:textId="77777777" w:rsidR="00833A16" w:rsidRPr="00833A16" w:rsidRDefault="00833A16" w:rsidP="00833A16">
      <w:pPr>
        <w:numPr>
          <w:ilvl w:val="0"/>
          <w:numId w:val="15"/>
        </w:numPr>
      </w:pPr>
      <w:r w:rsidRPr="00833A16">
        <w:rPr>
          <w:b/>
          <w:bCs/>
        </w:rPr>
        <w:t>Confirmação obrigatória:</w:t>
      </w:r>
      <w:r w:rsidRPr="00833A16">
        <w:t xml:space="preserve"> sinal de baixa com momentum de 20 dias positivo e </w:t>
      </w:r>
      <w:proofErr w:type="spellStart"/>
      <w:r w:rsidRPr="00833A16">
        <w:t>backwardation</w:t>
      </w:r>
      <w:proofErr w:type="spellEnd"/>
      <w:r w:rsidRPr="00833A16">
        <w:t xml:space="preserve"> exige revisão manual antes da execução.</w:t>
      </w:r>
    </w:p>
    <w:p w14:paraId="488D9E76" w14:textId="77777777" w:rsidR="00833A16" w:rsidRPr="00833A16" w:rsidRDefault="00833A16" w:rsidP="00833A16">
      <w:pPr>
        <w:numPr>
          <w:ilvl w:val="0"/>
          <w:numId w:val="15"/>
        </w:numPr>
      </w:pPr>
      <w:r w:rsidRPr="00833A16">
        <w:rPr>
          <w:b/>
          <w:bCs/>
        </w:rPr>
        <w:lastRenderedPageBreak/>
        <w:t>Versionamento:</w:t>
      </w:r>
      <w:r w:rsidRPr="00833A16">
        <w:t xml:space="preserve"> cada alteração de peso ou regra gera nova versão (por exemplo, v16), com justificativa e resultado do </w:t>
      </w:r>
      <w:proofErr w:type="spellStart"/>
      <w:r w:rsidRPr="00833A16">
        <w:t>backtest</w:t>
      </w:r>
      <w:proofErr w:type="spellEnd"/>
      <w:r w:rsidRPr="00833A16">
        <w:t>.</w:t>
      </w:r>
    </w:p>
    <w:p w14:paraId="7C04FA64" w14:textId="77777777" w:rsidR="00833A16" w:rsidRPr="00833A16" w:rsidRDefault="00833A16" w:rsidP="00833A16">
      <w:pPr>
        <w:numPr>
          <w:ilvl w:val="0"/>
          <w:numId w:val="15"/>
        </w:numPr>
      </w:pPr>
      <w:r w:rsidRPr="00833A16">
        <w:rPr>
          <w:b/>
          <w:bCs/>
        </w:rPr>
        <w:t>Revisão:</w:t>
      </w:r>
      <w:r w:rsidRPr="00833A16">
        <w:t xml:space="preserve"> IC mensal por fator; revisão trimestral de pesos; revisão imediata em caso de evento de magnitude 3.</w:t>
      </w:r>
    </w:p>
    <w:p w14:paraId="6606D340" w14:textId="77777777" w:rsidR="00833A16" w:rsidRPr="00833A16" w:rsidRDefault="00833A16" w:rsidP="00833A16">
      <w:pPr>
        <w:numPr>
          <w:ilvl w:val="0"/>
          <w:numId w:val="15"/>
        </w:numPr>
      </w:pPr>
      <w:r w:rsidRPr="00833A16">
        <w:rPr>
          <w:b/>
          <w:bCs/>
        </w:rPr>
        <w:t>Dimensionamento:</w:t>
      </w:r>
      <w:r w:rsidRPr="00833A16">
        <w:t xml:space="preserve"> tamanho da posição inversamente proporcional à volatilidade recente, e não fixo.</w:t>
      </w:r>
    </w:p>
    <w:p w14:paraId="2EE32115" w14:textId="77777777" w:rsidR="00833A16" w:rsidRPr="00833A16" w:rsidRDefault="00833A16" w:rsidP="00833A16">
      <w:r w:rsidRPr="00833A16">
        <w:pict w14:anchorId="4749BB86">
          <v:rect id="_x0000_i1142" style="width:0;height:0" o:hralign="center" o:hrstd="t" o:hr="t" fillcolor="#a0a0a0" stroked="f"/>
        </w:pict>
      </w:r>
    </w:p>
    <w:p w14:paraId="5A78EC82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7. Fontes oficiais consolidadas</w:t>
      </w:r>
    </w:p>
    <w:tbl>
      <w:tblPr>
        <w:tblW w:w="1516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5103"/>
        <w:gridCol w:w="1843"/>
        <w:gridCol w:w="5103"/>
      </w:tblGrid>
      <w:tr w:rsidR="00833A16" w:rsidRPr="00833A16" w14:paraId="4D402507" w14:textId="77777777" w:rsidTr="007647A6">
        <w:trPr>
          <w:tblHeader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C1614CF" w14:textId="77777777" w:rsidR="00833A16" w:rsidRPr="00833A16" w:rsidRDefault="00833A16" w:rsidP="007647A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Dado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6294462" w14:textId="77777777" w:rsidR="00833A16" w:rsidRPr="00833A16" w:rsidRDefault="00833A16" w:rsidP="007647A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Fonte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8312EC2" w14:textId="77777777" w:rsidR="00833A16" w:rsidRPr="00833A16" w:rsidRDefault="00833A16" w:rsidP="007647A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Frequência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1DB8312" w14:textId="77777777" w:rsidR="00833A16" w:rsidRPr="00833A16" w:rsidRDefault="00833A16" w:rsidP="007647A6">
            <w:pPr>
              <w:spacing w:after="0"/>
              <w:jc w:val="center"/>
              <w:rPr>
                <w:b/>
                <w:bCs/>
              </w:rPr>
            </w:pPr>
            <w:r w:rsidRPr="00833A16">
              <w:rPr>
                <w:b/>
                <w:bCs/>
              </w:rPr>
              <w:t>Uso</w:t>
            </w:r>
          </w:p>
        </w:tc>
      </w:tr>
      <w:tr w:rsidR="00833A16" w:rsidRPr="00833A16" w14:paraId="616FB1D2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0D94F11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Preço, ajustes, volume e posições do ICF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BBB0AA2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B3 (Boletim Diário, Up2Data, posições por investidor, calendário de vencimentos)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19398F4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Diária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65FBA02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 xml:space="preserve">Preço, rolagem, estrutura, </w:t>
            </w:r>
            <w:proofErr w:type="spellStart"/>
            <w:r w:rsidRPr="00833A16">
              <w:t>basis</w:t>
            </w:r>
            <w:proofErr w:type="spellEnd"/>
          </w:p>
        </w:tc>
      </w:tr>
      <w:tr w:rsidR="00833A16" w:rsidRPr="00833A16" w14:paraId="6CEEC9A9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505AFFD" w14:textId="77777777" w:rsidR="00833A16" w:rsidRPr="00833A16" w:rsidRDefault="00833A16" w:rsidP="007647A6">
            <w:pPr>
              <w:spacing w:after="0"/>
              <w:jc w:val="center"/>
            </w:pPr>
            <w:proofErr w:type="spellStart"/>
            <w:r w:rsidRPr="00833A16">
              <w:t>Coffee</w:t>
            </w:r>
            <w:proofErr w:type="spellEnd"/>
            <w:r w:rsidRPr="00833A16">
              <w:t xml:space="preserve"> C e estoques certificados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63D4991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ICE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83BEC2F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Diária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DE09CDE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 xml:space="preserve">F3, </w:t>
            </w:r>
            <w:proofErr w:type="spellStart"/>
            <w:r w:rsidRPr="00833A16">
              <w:t>basis</w:t>
            </w:r>
            <w:proofErr w:type="spellEnd"/>
            <w:r w:rsidRPr="00833A16">
              <w:t>, estrutura</w:t>
            </w:r>
          </w:p>
        </w:tc>
      </w:tr>
      <w:tr w:rsidR="00833A16" w:rsidRPr="00833A16" w14:paraId="580466B3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FBB5082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Posição dos fundos (COT)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00C454B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CFTC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1CB45AF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Semanal (sexta)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E3D12BC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F7</w:t>
            </w:r>
          </w:p>
        </w:tc>
      </w:tr>
      <w:tr w:rsidR="00833A16" w:rsidRPr="00833A16" w14:paraId="2952924C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BE4C7E8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Safra brasileira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2D5D1D1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Conab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FDF2427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Quatro levantamentos por ano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E7AD537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F2</w:t>
            </w:r>
          </w:p>
        </w:tc>
      </w:tr>
      <w:tr w:rsidR="00833A16" w:rsidRPr="00833A16" w14:paraId="47FCE39C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FC335FD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Oferta e consumo mundial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EFB1695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USDA FAS (WASDE, PSD)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19E2CA4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Mensal e semestral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C23799B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F6, estoques</w:t>
            </w:r>
          </w:p>
        </w:tc>
      </w:tr>
      <w:tr w:rsidR="00833A16" w:rsidRPr="00833A16" w14:paraId="030B44EF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BB4A945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Preços compostos e exportações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CCE8E7C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ICO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B3D23C2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Mensal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39194EF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Contexto e validação</w:t>
            </w:r>
          </w:p>
        </w:tc>
      </w:tr>
      <w:tr w:rsidR="00833A16" w:rsidRPr="00833A16" w14:paraId="2DB3A9EF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2602976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Produção colombiana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E238D41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FNC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4EECAFB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Mensal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7EDED40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Oferta concorrente</w:t>
            </w:r>
          </w:p>
        </w:tc>
      </w:tr>
      <w:tr w:rsidR="00833A16" w:rsidRPr="00833A16" w14:paraId="6A62C388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08B0F10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Exportações brasileiras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1CDBF77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Cecafé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D370C39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Mensal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3DCD84D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Oferta e fluxo</w:t>
            </w:r>
          </w:p>
        </w:tc>
      </w:tr>
      <w:tr w:rsidR="00833A16" w:rsidRPr="00833A16" w14:paraId="0A4186E2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9F43622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Clima e geada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8CDAE9C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INMET; ANA (</w:t>
            </w:r>
            <w:proofErr w:type="spellStart"/>
            <w:r w:rsidRPr="00833A16">
              <w:t>Hidroweb</w:t>
            </w:r>
            <w:proofErr w:type="spellEnd"/>
            <w:r w:rsidRPr="00833A16">
              <w:t>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5B084F7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Diária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FE9DFF5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F1</w:t>
            </w:r>
          </w:p>
        </w:tc>
      </w:tr>
      <w:tr w:rsidR="00833A16" w:rsidRPr="00833A16" w14:paraId="6C593D28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EE04D84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Vegetação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E0A8A62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NOAA STAR (VHI)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56BABBF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Semanal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EA85F35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F1</w:t>
            </w:r>
          </w:p>
        </w:tc>
      </w:tr>
      <w:tr w:rsidR="00833A16" w:rsidRPr="00833A16" w14:paraId="036BD05F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68C1D9E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ENSO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8591A6E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NOAA CPC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D57B43E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Mensal e semanal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8AA96E6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Regime climático</w:t>
            </w:r>
          </w:p>
        </w:tc>
      </w:tr>
      <w:tr w:rsidR="00833A16" w:rsidRPr="00833A16" w14:paraId="7D53673C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A2585AE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lastRenderedPageBreak/>
              <w:t>Câmbio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C8654C0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BCB (PTAX, SGS)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86E4335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Diária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9153307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F4</w:t>
            </w:r>
          </w:p>
        </w:tc>
      </w:tr>
      <w:tr w:rsidR="00833A16" w:rsidRPr="00833A16" w14:paraId="31C6C267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3AC64E2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Juros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7A6DDCA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FRED (Treasury 10 anos)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7973DE4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Diária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02E0D72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F8</w:t>
            </w:r>
          </w:p>
        </w:tc>
      </w:tr>
      <w:tr w:rsidR="00833A16" w:rsidRPr="00833A16" w14:paraId="666CAB87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11CCA27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Preço físico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88400C0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Cepea/Esalq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B1DA3A3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Diária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B1B6E8A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F4, preço real</w:t>
            </w:r>
          </w:p>
        </w:tc>
      </w:tr>
      <w:tr w:rsidR="00833A16" w:rsidRPr="00833A16" w14:paraId="0A9A02CB" w14:textId="77777777" w:rsidTr="007647A6"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1FD3C92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Custo de produção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B09A7C6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Conab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C761EC9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Anual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A87E647" w14:textId="77777777" w:rsidR="00833A16" w:rsidRPr="00833A16" w:rsidRDefault="00833A16" w:rsidP="007647A6">
            <w:pPr>
              <w:spacing w:after="0"/>
              <w:jc w:val="center"/>
            </w:pPr>
            <w:r w:rsidRPr="00833A16">
              <w:t>F5</w:t>
            </w:r>
          </w:p>
        </w:tc>
      </w:tr>
    </w:tbl>
    <w:p w14:paraId="5169E6C8" w14:textId="77777777" w:rsidR="00833A16" w:rsidRPr="00833A16" w:rsidRDefault="00833A16" w:rsidP="00833A16">
      <w:r w:rsidRPr="00833A16">
        <w:rPr>
          <w:b/>
          <w:bCs/>
        </w:rPr>
        <w:t>Observação:</w:t>
      </w:r>
      <w:r w:rsidRPr="00833A16">
        <w:t xml:space="preserve"> algumas séries da B3 (como o Up2Data) e da ICE podem exigir licença para uso comercial. Confirme com o jurídico antes de implantar em produção.</w:t>
      </w:r>
    </w:p>
    <w:p w14:paraId="66C779F8" w14:textId="77777777" w:rsidR="00833A16" w:rsidRPr="00833A16" w:rsidRDefault="00833A16" w:rsidP="00833A16">
      <w:r w:rsidRPr="00833A16">
        <w:pict w14:anchorId="72ABE695">
          <v:rect id="_x0000_i1143" style="width:0;height:0" o:hralign="center" o:hrstd="t" o:hr="t" fillcolor="#a0a0a0" stroked="f"/>
        </w:pict>
      </w:r>
    </w:p>
    <w:p w14:paraId="0D9F0DD7" w14:textId="77777777" w:rsidR="00833A16" w:rsidRPr="00833A16" w:rsidRDefault="00833A16" w:rsidP="00833A16">
      <w:pPr>
        <w:rPr>
          <w:b/>
          <w:bCs/>
        </w:rPr>
      </w:pPr>
      <w:r w:rsidRPr="00833A16">
        <w:rPr>
          <w:b/>
          <w:bCs/>
        </w:rPr>
        <w:t>8. Ressalvas</w:t>
      </w:r>
    </w:p>
    <w:p w14:paraId="29E2B66A" w14:textId="77777777" w:rsidR="00833A16" w:rsidRPr="00833A16" w:rsidRDefault="00833A16" w:rsidP="00833A16">
      <w:pPr>
        <w:numPr>
          <w:ilvl w:val="0"/>
          <w:numId w:val="16"/>
        </w:numPr>
      </w:pPr>
      <w:r w:rsidRPr="00833A16">
        <w:t xml:space="preserve">Não tive acesso à base do </w:t>
      </w:r>
      <w:proofErr w:type="spellStart"/>
      <w:r w:rsidRPr="00833A16">
        <w:t>FinMind</w:t>
      </w:r>
      <w:proofErr w:type="spellEnd"/>
      <w:r w:rsidRPr="00833A16">
        <w:t>. Os números vêm do relatório do motor, da tabela de evidências, da lista de fatores e de fontes públicas.</w:t>
      </w:r>
    </w:p>
    <w:p w14:paraId="797CDB05" w14:textId="77777777" w:rsidR="00833A16" w:rsidRPr="00833A16" w:rsidRDefault="00833A16" w:rsidP="00833A16">
      <w:pPr>
        <w:numPr>
          <w:ilvl w:val="0"/>
          <w:numId w:val="16"/>
        </w:numPr>
      </w:pPr>
      <w:r w:rsidRPr="00833A16">
        <w:t>O conflito de status de dados (seção 0.2) precisa ser resolvido antes de interpretar a tabela de evidências.</w:t>
      </w:r>
    </w:p>
    <w:p w14:paraId="45EB38D7" w14:textId="77777777" w:rsidR="00833A16" w:rsidRPr="00833A16" w:rsidRDefault="00833A16" w:rsidP="00833A16">
      <w:pPr>
        <w:numPr>
          <w:ilvl w:val="0"/>
          <w:numId w:val="16"/>
        </w:numPr>
      </w:pPr>
      <w:r w:rsidRPr="00833A16">
        <w:t>Parte das notícias cita cotações de Nova York, e não da B3. A comparação exige a conversão e a conciliação do item E1.</w:t>
      </w:r>
    </w:p>
    <w:p w14:paraId="6BF06AD7" w14:textId="77777777" w:rsidR="00833A16" w:rsidRPr="00833A16" w:rsidRDefault="00833A16" w:rsidP="00833A16">
      <w:pPr>
        <w:numPr>
          <w:ilvl w:val="0"/>
          <w:numId w:val="16"/>
        </w:numPr>
      </w:pPr>
      <w:r w:rsidRPr="00833A16">
        <w:t>As datas de vencimento do ICFZ26 e do ICFH27 devem ser confirmadas no calendário oficial da B3, que não foi consultado diretamente nesta versão.</w:t>
      </w:r>
    </w:p>
    <w:p w14:paraId="013FB90A" w14:textId="77777777" w:rsidR="00833A16" w:rsidRPr="00833A16" w:rsidRDefault="00833A16" w:rsidP="00833A16">
      <w:pPr>
        <w:numPr>
          <w:ilvl w:val="0"/>
          <w:numId w:val="16"/>
        </w:numPr>
      </w:pPr>
      <w:r w:rsidRPr="00833A16">
        <w:t>Os pesos propostos são hipóteses de partida. A amostra de episódios extremos (como os do F7) é pequena, e as conclusões devem ser tratadas com cautela até a validação fora da amostra.</w:t>
      </w:r>
    </w:p>
    <w:p w14:paraId="04AA5CB9" w14:textId="77777777" w:rsidR="00833A16" w:rsidRPr="00833A16" w:rsidRDefault="00833A16" w:rsidP="00833A16">
      <w:pPr>
        <w:numPr>
          <w:ilvl w:val="0"/>
          <w:numId w:val="16"/>
        </w:numPr>
      </w:pPr>
      <w:r w:rsidRPr="00833A16">
        <w:t>Este material é apoio interno à decisão e não constitui recomendação de investimento.</w:t>
      </w:r>
    </w:p>
    <w:p w14:paraId="5CE5721C" w14:textId="77777777" w:rsidR="00E450B6" w:rsidRDefault="00E450B6"/>
    <w:sectPr w:rsidR="00E450B6" w:rsidSect="00833A1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015"/>
    <w:multiLevelType w:val="multilevel"/>
    <w:tmpl w:val="D21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06C7C"/>
    <w:multiLevelType w:val="multilevel"/>
    <w:tmpl w:val="623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99292F"/>
    <w:multiLevelType w:val="multilevel"/>
    <w:tmpl w:val="3AD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2D2A6D"/>
    <w:multiLevelType w:val="multilevel"/>
    <w:tmpl w:val="850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4569CA"/>
    <w:multiLevelType w:val="multilevel"/>
    <w:tmpl w:val="7460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271D90"/>
    <w:multiLevelType w:val="multilevel"/>
    <w:tmpl w:val="97DE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440226"/>
    <w:multiLevelType w:val="multilevel"/>
    <w:tmpl w:val="41F6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019E2"/>
    <w:multiLevelType w:val="multilevel"/>
    <w:tmpl w:val="3CC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28418A"/>
    <w:multiLevelType w:val="multilevel"/>
    <w:tmpl w:val="019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8925BE"/>
    <w:multiLevelType w:val="multilevel"/>
    <w:tmpl w:val="25F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336808"/>
    <w:multiLevelType w:val="multilevel"/>
    <w:tmpl w:val="A6C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562482"/>
    <w:multiLevelType w:val="multilevel"/>
    <w:tmpl w:val="899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C72121"/>
    <w:multiLevelType w:val="multilevel"/>
    <w:tmpl w:val="5DD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1A21BC"/>
    <w:multiLevelType w:val="multilevel"/>
    <w:tmpl w:val="B0A0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C17CB6"/>
    <w:multiLevelType w:val="multilevel"/>
    <w:tmpl w:val="455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6D0AB2"/>
    <w:multiLevelType w:val="multilevel"/>
    <w:tmpl w:val="DC4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6014565">
    <w:abstractNumId w:val="3"/>
  </w:num>
  <w:num w:numId="2" w16cid:durableId="360211301">
    <w:abstractNumId w:val="14"/>
  </w:num>
  <w:num w:numId="3" w16cid:durableId="227032168">
    <w:abstractNumId w:val="12"/>
  </w:num>
  <w:num w:numId="4" w16cid:durableId="2088258501">
    <w:abstractNumId w:val="2"/>
  </w:num>
  <w:num w:numId="5" w16cid:durableId="1033653307">
    <w:abstractNumId w:val="15"/>
  </w:num>
  <w:num w:numId="6" w16cid:durableId="881094571">
    <w:abstractNumId w:val="5"/>
  </w:num>
  <w:num w:numId="7" w16cid:durableId="1730494755">
    <w:abstractNumId w:val="7"/>
  </w:num>
  <w:num w:numId="8" w16cid:durableId="1019234884">
    <w:abstractNumId w:val="1"/>
  </w:num>
  <w:num w:numId="9" w16cid:durableId="309946677">
    <w:abstractNumId w:val="10"/>
  </w:num>
  <w:num w:numId="10" w16cid:durableId="798112670">
    <w:abstractNumId w:val="8"/>
  </w:num>
  <w:num w:numId="11" w16cid:durableId="1336758998">
    <w:abstractNumId w:val="13"/>
  </w:num>
  <w:num w:numId="12" w16cid:durableId="863249870">
    <w:abstractNumId w:val="6"/>
  </w:num>
  <w:num w:numId="13" w16cid:durableId="1568808886">
    <w:abstractNumId w:val="0"/>
  </w:num>
  <w:num w:numId="14" w16cid:durableId="2099210997">
    <w:abstractNumId w:val="9"/>
  </w:num>
  <w:num w:numId="15" w16cid:durableId="1267158167">
    <w:abstractNumId w:val="11"/>
  </w:num>
  <w:num w:numId="16" w16cid:durableId="1431511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16"/>
    <w:rsid w:val="000600AF"/>
    <w:rsid w:val="007647A6"/>
    <w:rsid w:val="00833A16"/>
    <w:rsid w:val="0084068A"/>
    <w:rsid w:val="00E25F64"/>
    <w:rsid w:val="00E4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CC03C"/>
  <w15:chartTrackingRefBased/>
  <w15:docId w15:val="{428698BA-BB76-4313-AB7B-1AE8A568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3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3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3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3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3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3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3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3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3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3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3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3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3A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3A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3A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3A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3A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3A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3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3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3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3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3A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3A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3A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3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3A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3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2730</Words>
  <Characters>14742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Morais De Queiroz</dc:creator>
  <cp:keywords/>
  <dc:description/>
  <cp:lastModifiedBy>David Morais De Queiroz</cp:lastModifiedBy>
  <cp:revision>1</cp:revision>
  <dcterms:created xsi:type="dcterms:W3CDTF">2026-10-20T00:07:00Z</dcterms:created>
  <dcterms:modified xsi:type="dcterms:W3CDTF">2026-10-20T00:20:00Z</dcterms:modified>
</cp:coreProperties>
</file>