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  <w:pBdr>
          <w:bottom w:val="nil"/>
        </w:pBdr>
      </w:pPr>
      <w:r>
        <w:rPr>
          <w:rFonts w:ascii="Arial" w:hAnsi="Arial" w:eastAsia="Microsoft YaHei"/>
          <w:b/>
          <w:sz w:val="40"/>
        </w:rPr>
        <w:t>逻辑回归原版与特征工程模型结果报告</w:t>
      </w:r>
    </w:p>
    <w:p>
      <w:pPr>
        <w:spacing w:after="280"/>
        <w:jc w:val="center"/>
      </w:pPr>
      <w:r>
        <w:rPr>
          <w:rFonts w:ascii="Arial" w:hAnsi="Arial" w:eastAsia="Microsoft YaHei"/>
          <w:b w:val="0"/>
          <w:color w:val="5A5A5A"/>
          <w:sz w:val="20"/>
        </w:rPr>
        <w:t>Online Shoppers Purchasing Intention 数据集  固定训练集与测试集  随机种子 6805</w:t>
      </w:r>
    </w:p>
    <w:p>
      <w:pPr>
        <w:pStyle w:val="Heading1"/>
        <w:spacing w:before="220" w:after="100"/>
      </w:pPr>
      <w:r>
        <w:rPr>
          <w:rFonts w:ascii="Arial" w:hAnsi="Arial" w:eastAsia="Microsoft YaHei"/>
          <w:b/>
          <w:sz w:val="30"/>
        </w:rPr>
        <w:t>执行摘要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sz w:val="21"/>
        </w:rPr>
        <w:t>工程化模型在购买者排序方面有小幅改善，但没有在所有决策指标上全面超过原版逻辑回归。测试集 PR-AUC 从 0.3351 提升到 0.3426，ROC-AUC 从 0.7564 提升到 0.7615，说明新变量对区分高购买可能性会话提供了少量补充信息。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sz w:val="21"/>
        </w:rPr>
        <w:t>代价是模型更保守：在各自训练集 OOF 选出的 F1 最优阈值下，Recall 从 63.6% 降至 58.6%，识别出的真实购买者从 243 人降至 224 人；同时误报从 570 人降至 503 人。工程化模型适合更重视筛选准确性的场景，原版模型更适合尽量触达潜在购买者的场景。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sz w:val="21"/>
        </w:rPr>
        <w:t>五折交叉验证中，工程化模型在 3 折略优、2 折略差，平均增益较小。因此课程报告中应表述为“工程化变量带来轻微的排序增益”，不宜表述为“显著优于原版模型”。</w:t>
      </w:r>
    </w:p>
    <w:p>
      <w:pPr>
        <w:pStyle w:val="Heading1"/>
        <w:spacing w:before="220" w:after="100"/>
      </w:pPr>
      <w:r>
        <w:rPr>
          <w:rFonts w:ascii="Arial" w:hAnsi="Arial" w:eastAsia="Microsoft YaHei"/>
          <w:b/>
          <w:sz w:val="30"/>
        </w:rPr>
        <w:t>1 研究设计与模型定义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sz w:val="21"/>
        </w:rPr>
        <w:t>两个子模型均使用同一份训练集、同一份固定测试集和 5 折分层交叉验证。随机种子固定为 6805。由于 PageValues 可能含有接近转化阶段的信息，且预测时点未必可获得，本报告的主模型均将其排除。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sz w:val="21"/>
        </w:rPr>
        <w:t>原版子模型使用原始行为、会话和访客变量，并采用 L2 正则化逻辑回归。工程化子模型在原始变量上增加总浏览深度、商品浏览投入、退出行为和月份与周末的交互特征；数值变量在每个训练折内按 1% 与 99% 分位数缩尾，对偏态计数与时长变量作 log1p 变换，再通过交叉验证选择 L1 或 L2 正则化。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sz w:val="21"/>
        </w:rPr>
        <w:t>超参数以 PR-AUC 为主要选择指标，因为购买会话仅约占样本的 15.6%。分类阈值仅由训练集 OOF 预测选择为 F1 最大化点，测试集不参与调参或阈值选择。</w:t>
      </w:r>
    </w:p>
    <w:p>
      <w:pPr>
        <w:pStyle w:val="Heading1"/>
        <w:spacing w:before="220" w:after="100"/>
      </w:pPr>
      <w:r>
        <w:rPr>
          <w:rFonts w:ascii="Arial" w:hAnsi="Arial" w:eastAsia="Microsoft YaHei"/>
          <w:b/>
          <w:sz w:val="30"/>
        </w:rPr>
        <w:t>2 总体结果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70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19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CV PR-AUC</w:t>
            </w:r>
          </w:p>
        </w:tc>
        <w:tc>
          <w:tcPr>
            <w:tcW w:type="dxa" w:w="1276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测试集 PR-AUC</w:t>
            </w:r>
          </w:p>
        </w:tc>
        <w:tc>
          <w:tcPr>
            <w:tcW w:type="dxa" w:w="1049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049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9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F1</w:t>
            </w:r>
          </w:p>
        </w:tc>
        <w:tc>
          <w:tcPr>
            <w:tcW w:type="dxa" w:w="879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阈值</w:t>
            </w:r>
          </w:p>
        </w:tc>
        <w:trPr>
          <w:tblHeader/>
        </w:trPr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原版 L2 LR</w:t>
            </w:r>
          </w:p>
        </w:tc>
        <w:tc>
          <w:tcPr>
            <w:tcW w:type="dxa" w:w="1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0.3398</w:t>
            </w:r>
          </w:p>
        </w:tc>
        <w:tc>
          <w:tcPr>
            <w:tcW w:type="dxa" w:w="12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0.3351</w:t>
            </w:r>
          </w:p>
        </w:tc>
        <w:tc>
          <w:tcPr>
            <w:tcW w:type="dxa" w:w="10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29.9%</w:t>
            </w:r>
          </w:p>
        </w:tc>
        <w:tc>
          <w:tcPr>
            <w:tcW w:type="dxa" w:w="10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63.6%</w:t>
            </w:r>
          </w:p>
        </w:tc>
        <w:tc>
          <w:tcPr>
            <w:tcW w:type="dxa" w:w="9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0.4067</w:t>
            </w:r>
          </w:p>
        </w:tc>
        <w:tc>
          <w:tcPr>
            <w:tcW w:type="dxa" w:w="8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0.557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工程化 LR</w:t>
            </w:r>
          </w:p>
        </w:tc>
        <w:tc>
          <w:tcPr>
            <w:tcW w:type="dxa" w:w="1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0.3424</w:t>
            </w:r>
          </w:p>
        </w:tc>
        <w:tc>
          <w:tcPr>
            <w:tcW w:type="dxa" w:w="12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0.3426</w:t>
            </w:r>
          </w:p>
        </w:tc>
        <w:tc>
          <w:tcPr>
            <w:tcW w:type="dxa" w:w="10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30.8%</w:t>
            </w:r>
          </w:p>
        </w:tc>
        <w:tc>
          <w:tcPr>
            <w:tcW w:type="dxa" w:w="10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58.6%</w:t>
            </w:r>
          </w:p>
        </w:tc>
        <w:tc>
          <w:tcPr>
            <w:tcW w:type="dxa" w:w="9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0.4040</w:t>
            </w:r>
          </w:p>
        </w:tc>
        <w:tc>
          <w:tcPr>
            <w:tcW w:type="dxa" w:w="8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AF2F8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0.587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7F7F7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工程化减原版</w:t>
            </w:r>
          </w:p>
        </w:tc>
        <w:tc>
          <w:tcPr>
            <w:tcW w:type="dxa" w:w="11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7F7F7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+0.0026</w:t>
            </w:r>
          </w:p>
        </w:tc>
        <w:tc>
          <w:tcPr>
            <w:tcW w:type="dxa" w:w="12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7F7F7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+0.0075</w:t>
            </w:r>
          </w:p>
        </w:tc>
        <w:tc>
          <w:tcPr>
            <w:tcW w:type="dxa" w:w="10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7F7F7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+0.9pp</w:t>
            </w:r>
          </w:p>
        </w:tc>
        <w:tc>
          <w:tcPr>
            <w:tcW w:type="dxa" w:w="10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7F7F7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-5.0pp</w:t>
            </w:r>
          </w:p>
        </w:tc>
        <w:tc>
          <w:tcPr>
            <w:tcW w:type="dxa" w:w="9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7F7F7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-0.0027</w:t>
            </w:r>
          </w:p>
        </w:tc>
        <w:tc>
          <w:tcPr>
            <w:tcW w:type="dxa" w:w="8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7F7F7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+0.030</w:t>
            </w:r>
          </w:p>
        </w:tc>
      </w:tr>
    </w:tbl>
    <w:p>
      <w:pPr>
        <w:spacing w:after="20"/>
      </w:pPr>
    </w:p>
    <w:p>
      <w:pPr>
        <w:spacing w:after="120" w:line="324" w:lineRule="auto"/>
      </w:pPr>
      <w:r>
        <w:rPr>
          <w:rFonts w:ascii="Arial" w:hAnsi="Arial" w:eastAsia="Microsoft YaHei"/>
          <w:b w:val="0"/>
          <w:sz w:val="21"/>
        </w:rPr>
        <w:t>阈值无关的排序指标显示工程化模型略优：测试集 PR-AUC 增加 0.0075，约为 2.2% 的相对提升；ROC-AUC 增加 0.0051。PR-AUC 的提升更值得关注，因为数据存在明显类别不平衡。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sz w:val="21"/>
        </w:rPr>
        <w:t>阈值相关指标体现了取舍。工程化模型的阈值从 0.557 提高至 0.587，意味着模型只对更高置信度的会话预测购买。其 Precision 提高 0.9 个百分点，误报减少 67 个；但 Recall 降低 5.0 个百分点，漏报增加 19 个。因此 F1 从 0.4067 小幅降至 0.4040。</w:t>
      </w:r>
    </w:p>
    <w:p>
      <w:pPr>
        <w:pStyle w:val="Heading1"/>
        <w:spacing w:before="220" w:after="100"/>
      </w:pPr>
      <w:r>
        <w:rPr>
          <w:rFonts w:ascii="Arial" w:hAnsi="Arial" w:eastAsia="Microsoft YaHei"/>
          <w:b/>
          <w:sz w:val="30"/>
        </w:rPr>
        <w:t>3 新变量是否有价值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sz w:val="21"/>
        </w:rPr>
        <w:t>相关性图的作用是检查信息重叠，而非直接证明预测价值。图中部分新变量与其构造来源存在中等或较高相关性，例如总时长与商品页时长、退出率与退出跳出比率。这是合理的，因为新变量由原始行为变量派生。L1 正则化会将没有额外预测贡献的特征压缩为零，降低冗余特征造成的系数不稳定风险。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777045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ineered_feature_corre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7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05050"/>
          <w:sz w:val="18"/>
        </w:rPr>
        <w:t>图 1 原始与工程化数值变量的相关性  用于发现冗余而非衡量预测贡献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sz w:val="21"/>
        </w:rPr>
        <w:t>购买率分组图提供了更直接的描述性证据。若同一新变量从低分位到高分位的购买率呈明显梯度，说明它与购买结果存在关联。总停留时长、商品页占比和平均商品页停留时长整体呈正向梯度；退出率与跳出率差值较高时，购买率下降，符合用户即将离站时购买可能性降低的行为逻辑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4030111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ngineered_feature_purchase_r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30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05050"/>
          <w:sz w:val="18"/>
        </w:rPr>
        <w:t>图 2 工程化变量五分位与实际购买率  虚线为训练集平均购买率</w:t>
      </w:r>
    </w:p>
    <w:p>
      <w:pPr>
        <w:pStyle w:val="Heading1"/>
        <w:spacing w:before="220" w:after="100"/>
      </w:pPr>
      <w:r>
        <w:rPr>
          <w:rFonts w:ascii="Arial" w:hAnsi="Arial" w:eastAsia="Microsoft YaHei"/>
          <w:b/>
          <w:sz w:val="30"/>
        </w:rPr>
        <w:t>4 增益是否稳定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sz w:val="21"/>
        </w:rPr>
        <w:t>单次测试集提升不足以证明特征工程稳定有效，因此还需检查 5 折交叉验证。工程化模型在第 1、2、3 折的 PR-AUC 更高，在第 4、5 折略低；平均 CV PR-AUC 从 0.3398 上升到 0.3424。该图说明提升方向总体可见，但幅度不大且并非每一折都一致。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28000" cy="2919213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v_pr_auc_by_fo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19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05050"/>
          <w:sz w:val="18"/>
        </w:rPr>
        <w:t>图 3 五折分层交叉验证的 PR-AUC 对比  两条线使用完全相同的折划分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sz w:val="21"/>
        </w:rPr>
        <w:t>OOF 曲线进一步表明，工程化模型的 PR 曲线在部分召回区间略高，整体平均精度略好。OOF 预测保证每个训练样本的预测来自未见过它的模型，因此比直接观察训练集拟合曲线更可信。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38471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of_model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38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05050"/>
          <w:sz w:val="18"/>
        </w:rPr>
        <w:t>图 4 原版与工程化模型的 OOF ROC 和 PR 曲线</w:t>
      </w:r>
    </w:p>
    <w:p>
      <w:pPr>
        <w:pStyle w:val="Heading1"/>
        <w:spacing w:before="220" w:after="100"/>
      </w:pPr>
      <w:r>
        <w:rPr>
          <w:rFonts w:ascii="Arial" w:hAnsi="Arial" w:eastAsia="Microsoft YaHei"/>
          <w:b/>
          <w:sz w:val="30"/>
        </w:rPr>
        <w:t>5 结论与模型使用建议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sz w:val="21"/>
        </w:rPr>
        <w:t>若目标是建立可解释、稳健且便于课程展示的主模型，原版 L2 逻辑回归仍然是合适的首选：结构简单，召回率与 F1 略高，并能覆盖更多实际购买者。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sz w:val="21"/>
        </w:rPr>
        <w:t>若业务目标是优先从大量会话中筛出更可能购买的一小部分人群，例如营销资源有限、误触达成本较高，则工程化模型更有吸引力：它提高了 PR-AUC 和 Precision，并减少了误报。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sz w:val="21"/>
        </w:rPr>
        <w:t>工程化模型没有失败，但其改进是有限的。最准确的结论是：构造的会话深度、商品投入与退出行为变量补充了部分排序信息；然而它们未在当前 F1 导向阈值下带来全面分类提升。后续若更重视召回率，应固定模型后在训练 OOF 预测中改用召回率约束或业务成本函数选择更低阈值，而不是在测试集上反复调阈值。</w:t>
      </w:r>
    </w:p>
    <w:sectPr w:rsidR="00FC693F" w:rsidRPr="0006063C" w:rsidSect="00034616">
      <w:pgSz w:w="12240" w:h="15840"/>
      <w:pgMar w:top="1191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