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在线购物购买意向预测</w:t>
      </w:r>
    </w:p>
    <w:p>
      <w:pPr>
        <w:spacing w:after="320"/>
        <w:jc w:val="center"/>
      </w:pPr>
      <w:r>
        <w:rPr>
          <w:rFonts w:eastAsia="Microsoft YaHei"/>
          <w:b/>
          <w:sz w:val="26"/>
        </w:rPr>
        <w:t>数据方法与逻辑回归分析</w:t>
      </w:r>
    </w:p>
    <w:p>
      <w:pPr>
        <w:spacing w:after="440"/>
        <w:jc w:val="center"/>
      </w:pPr>
      <w:r>
        <w:rPr>
          <w:rFonts w:eastAsia="Microsoft YaHei"/>
        </w:rPr>
        <w:t>MH6805 金融机器学习</w:t>
        <w:br/>
        <w:t>第30组   王柄尧   G2603020F</w:t>
        <w:br/>
        <w:t>2026年10月20日</w:t>
      </w:r>
    </w:p>
    <w:p>
      <w:pPr>
        <w:pStyle w:val="Heading1"/>
      </w:pPr>
      <w:r>
        <w:t>执行摘要</w:t>
      </w:r>
    </w:p>
    <w:p>
      <w:r>
        <w:t>本报告完整记录了一个用于预测线上购物会话是否产生购买的、注重信息泄漏控制的逻辑回归流程。分析采用老师提供的固定训练集与独立测试集；测试集不参与预处理学习、超参数选择或阈值选择，所有随机过程均固定为种子 6805。主模型有意排除 PageValues。该模型在独立测试集上取得 ROC AUC 0.757、PR AUC 0.335；训练集正类基准比例仅为 15.6%。采用仅由五折交叉验证训练集外折预测确定的 F1 导向阈值 0.55 后，模型识别出 65.7% 的实际购买会话，精确率为 29.5%。</w:t>
      </w:r>
    </w:p>
    <w:p>
      <w:r>
        <w:t>将 PageValues 纳入后，测试集 ROC AUC 升至 0.900，PR AUC 升至 0.622。由于该变量与交易相关页面价值高度关联，且尚未证明它在交易结果发生前即可获得，本报告把该结果作为敏感性分析，而非推荐的可部署模型结果。</w:t>
      </w:r>
    </w:p>
    <w:p>
      <w:pPr>
        <w:pStyle w:val="Heading1"/>
      </w:pPr>
      <w:r>
        <w:t>1 研究范围与可复现性</w:t>
      </w:r>
    </w:p>
    <w:p>
      <w:r>
        <w:t>本研究属于二元监督分类问题。目标变量 Revenue 在会话产生购买时取值为 1，否则为 0。根据小组 proposal，逻辑回归承担可解释概率基准模型的角色；根据四人分工，本部分同时负责数据清洗、EDA、统一预处理框架、正则化调参、优势比解释和多重共线性诊断。</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01"/>
        <w:gridCol w:w="4901"/>
      </w:tblGrid>
      <w:tr>
        <w:trPr>
          <w:tblHeader w:val="true"/>
        </w:trPr>
        <w:tc>
          <w:tcPr>
            <w:tcW w:type="dxa" w:w="2592"/>
            <w:vAlign w:val="center"/>
            <w:shd w:fill="1F4E78"/>
            <w:tcMar>
              <w:top w:w="100" w:type="dxa"/>
              <w:start w:w="120" w:type="dxa"/>
              <w:bottom w:w="100" w:type="dxa"/>
              <w:end w:w="120" w:type="dxa"/>
            </w:tcMar>
          </w:tcPr>
          <w:p>
            <w:pPr>
              <w:jc w:val="center"/>
            </w:pPr>
            <w:r>
              <w:rPr>
                <w:b/>
                <w:color w:val="FFFFFF"/>
                <w:sz w:val="18"/>
              </w:rPr>
              <w:t>设计环节</w:t>
            </w:r>
          </w:p>
        </w:tc>
        <w:tc>
          <w:tcPr>
            <w:tcW w:type="dxa" w:w="6696"/>
            <w:vAlign w:val="center"/>
            <w:shd w:fill="1F4E78"/>
            <w:tcMar>
              <w:top w:w="100" w:type="dxa"/>
              <w:start w:w="120" w:type="dxa"/>
              <w:bottom w:w="100" w:type="dxa"/>
              <w:end w:w="120" w:type="dxa"/>
            </w:tcMar>
          </w:tcPr>
          <w:p>
            <w:pPr>
              <w:jc w:val="center"/>
            </w:pPr>
            <w:r>
              <w:rPr>
                <w:b/>
                <w:color w:val="FFFFFF"/>
                <w:sz w:val="18"/>
              </w:rPr>
              <w:t>具体实现</w:t>
            </w:r>
          </w:p>
        </w:tc>
      </w:tr>
      <w:tr>
        <w:tc>
          <w:tcPr>
            <w:tcW w:type="dxa" w:w="2592"/>
            <w:vAlign w:val="center"/>
            <w:tcMar>
              <w:top w:w="100" w:type="dxa"/>
              <w:start w:w="120" w:type="dxa"/>
              <w:bottom w:w="100" w:type="dxa"/>
              <w:end w:w="120" w:type="dxa"/>
            </w:tcMar>
          </w:tcPr>
          <w:p>
            <w:pPr>
              <w:jc w:val="left"/>
            </w:pPr>
            <w:r>
              <w:rPr>
                <w:sz w:val="18"/>
              </w:rPr>
              <w:t>数据划分</w:t>
            </w:r>
          </w:p>
        </w:tc>
        <w:tc>
          <w:tcPr>
            <w:tcW w:type="dxa" w:w="6696"/>
            <w:vAlign w:val="center"/>
            <w:tcMar>
              <w:top w:w="100" w:type="dxa"/>
              <w:start w:w="120" w:type="dxa"/>
              <w:bottom w:w="100" w:type="dxa"/>
              <w:end w:w="120" w:type="dxa"/>
            </w:tcMar>
          </w:tcPr>
          <w:p>
            <w:pPr>
              <w:jc w:val="center"/>
            </w:pPr>
            <w:r>
              <w:rPr>
                <w:sz w:val="18"/>
              </w:rPr>
              <w:t>使用给定的固定训练集（9,764 行）与独立测试集（2,441 行）</w:t>
            </w:r>
          </w:p>
        </w:tc>
      </w:tr>
      <w:tr>
        <w:tc>
          <w:tcPr>
            <w:tcW w:type="dxa" w:w="2592"/>
            <w:vAlign w:val="center"/>
            <w:tcMar>
              <w:top w:w="100" w:type="dxa"/>
              <w:start w:w="120" w:type="dxa"/>
              <w:bottom w:w="100" w:type="dxa"/>
              <w:end w:w="120" w:type="dxa"/>
            </w:tcMar>
            <w:shd w:fill="F4F8FB"/>
          </w:tcPr>
          <w:p>
            <w:pPr>
              <w:jc w:val="left"/>
            </w:pPr>
            <w:r>
              <w:rPr>
                <w:sz w:val="18"/>
              </w:rPr>
              <w:t>随机性控制</w:t>
            </w:r>
          </w:p>
        </w:tc>
        <w:tc>
          <w:tcPr>
            <w:tcW w:type="dxa" w:w="6696"/>
            <w:vAlign w:val="center"/>
            <w:tcMar>
              <w:top w:w="100" w:type="dxa"/>
              <w:start w:w="120" w:type="dxa"/>
              <w:bottom w:w="100" w:type="dxa"/>
              <w:end w:w="120" w:type="dxa"/>
            </w:tcMar>
            <w:shd w:fill="F4F8FB"/>
          </w:tcPr>
          <w:p>
            <w:pPr>
              <w:jc w:val="center"/>
            </w:pPr>
            <w:r>
              <w:rPr>
                <w:sz w:val="18"/>
              </w:rPr>
              <w:t>Logistic Regression 与 StratifiedKFold 均设 random_state = 6805</w:t>
            </w:r>
          </w:p>
        </w:tc>
      </w:tr>
      <w:tr>
        <w:tc>
          <w:tcPr>
            <w:tcW w:type="dxa" w:w="2592"/>
            <w:vAlign w:val="center"/>
            <w:tcMar>
              <w:top w:w="100" w:type="dxa"/>
              <w:start w:w="120" w:type="dxa"/>
              <w:bottom w:w="100" w:type="dxa"/>
              <w:end w:w="120" w:type="dxa"/>
            </w:tcMar>
          </w:tcPr>
          <w:p>
            <w:pPr>
              <w:jc w:val="left"/>
            </w:pPr>
            <w:r>
              <w:rPr>
                <w:sz w:val="18"/>
              </w:rPr>
              <w:t>验证方式</w:t>
            </w:r>
          </w:p>
        </w:tc>
        <w:tc>
          <w:tcPr>
            <w:tcW w:type="dxa" w:w="6696"/>
            <w:vAlign w:val="center"/>
            <w:tcMar>
              <w:top w:w="100" w:type="dxa"/>
              <w:start w:w="120" w:type="dxa"/>
              <w:bottom w:w="100" w:type="dxa"/>
              <w:end w:w="120" w:type="dxa"/>
            </w:tcMar>
          </w:tcPr>
          <w:p>
            <w:pPr>
              <w:jc w:val="center"/>
            </w:pPr>
            <w:r>
              <w:rPr>
                <w:sz w:val="18"/>
              </w:rPr>
              <w:t>仅在训练集上进行五折分层交叉验证</w:t>
            </w:r>
          </w:p>
        </w:tc>
      </w:tr>
      <w:tr>
        <w:tc>
          <w:tcPr>
            <w:tcW w:type="dxa" w:w="2592"/>
            <w:vAlign w:val="center"/>
            <w:tcMar>
              <w:top w:w="100" w:type="dxa"/>
              <w:start w:w="120" w:type="dxa"/>
              <w:bottom w:w="100" w:type="dxa"/>
              <w:end w:w="120" w:type="dxa"/>
            </w:tcMar>
            <w:shd w:fill="F4F8FB"/>
          </w:tcPr>
          <w:p>
            <w:pPr>
              <w:jc w:val="left"/>
            </w:pPr>
            <w:r>
              <w:rPr>
                <w:sz w:val="18"/>
              </w:rPr>
              <w:t>首要调参指标</w:t>
            </w:r>
          </w:p>
        </w:tc>
        <w:tc>
          <w:tcPr>
            <w:tcW w:type="dxa" w:w="6696"/>
            <w:vAlign w:val="center"/>
            <w:tcMar>
              <w:top w:w="100" w:type="dxa"/>
              <w:start w:w="120" w:type="dxa"/>
              <w:bottom w:w="100" w:type="dxa"/>
              <w:end w:w="120" w:type="dxa"/>
            </w:tcMar>
            <w:shd w:fill="F4F8FB"/>
          </w:tcPr>
          <w:p>
            <w:pPr>
              <w:jc w:val="center"/>
            </w:pPr>
            <w:r>
              <w:rPr>
                <w:sz w:val="18"/>
              </w:rPr>
              <w:t>平均精确率 AP 即 PR AUC，适用于购买类占比较低的情形</w:t>
            </w:r>
          </w:p>
        </w:tc>
      </w:tr>
      <w:tr>
        <w:tc>
          <w:tcPr>
            <w:tcW w:type="dxa" w:w="2592"/>
            <w:vAlign w:val="center"/>
            <w:tcMar>
              <w:top w:w="100" w:type="dxa"/>
              <w:start w:w="120" w:type="dxa"/>
              <w:bottom w:w="100" w:type="dxa"/>
              <w:end w:w="120" w:type="dxa"/>
            </w:tcMar>
          </w:tcPr>
          <w:p>
            <w:pPr>
              <w:jc w:val="left"/>
            </w:pPr>
            <w:r>
              <w:rPr>
                <w:sz w:val="18"/>
              </w:rPr>
              <w:t>类别不平衡</w:t>
            </w:r>
          </w:p>
        </w:tc>
        <w:tc>
          <w:tcPr>
            <w:tcW w:type="dxa" w:w="6696"/>
            <w:vAlign w:val="center"/>
            <w:tcMar>
              <w:top w:w="100" w:type="dxa"/>
              <w:start w:w="120" w:type="dxa"/>
              <w:bottom w:w="100" w:type="dxa"/>
              <w:end w:w="120" w:type="dxa"/>
            </w:tcMar>
          </w:tcPr>
          <w:p>
            <w:pPr>
              <w:jc w:val="center"/>
            </w:pPr>
            <w:r>
              <w:rPr>
                <w:sz w:val="18"/>
              </w:rPr>
              <w:t>逻辑回归设置 class_weight = balanced</w:t>
            </w:r>
          </w:p>
        </w:tc>
      </w:tr>
      <w:tr>
        <w:tc>
          <w:tcPr>
            <w:tcW w:type="dxa" w:w="2592"/>
            <w:vAlign w:val="center"/>
            <w:tcMar>
              <w:top w:w="100" w:type="dxa"/>
              <w:start w:w="120" w:type="dxa"/>
              <w:bottom w:w="100" w:type="dxa"/>
              <w:end w:w="120" w:type="dxa"/>
            </w:tcMar>
            <w:shd w:fill="F4F8FB"/>
          </w:tcPr>
          <w:p>
            <w:pPr>
              <w:jc w:val="left"/>
            </w:pPr>
            <w:r>
              <w:rPr>
                <w:sz w:val="18"/>
              </w:rPr>
              <w:t>主模型</w:t>
            </w:r>
          </w:p>
        </w:tc>
        <w:tc>
          <w:tcPr>
            <w:tcW w:type="dxa" w:w="6696"/>
            <w:vAlign w:val="center"/>
            <w:tcMar>
              <w:top w:w="100" w:type="dxa"/>
              <w:start w:w="120" w:type="dxa"/>
              <w:bottom w:w="100" w:type="dxa"/>
              <w:end w:w="120" w:type="dxa"/>
            </w:tcMar>
            <w:shd w:fill="F4F8FB"/>
          </w:tcPr>
          <w:p>
            <w:pPr>
              <w:jc w:val="center"/>
            </w:pPr>
            <w:r>
              <w:rPr>
                <w:sz w:val="18"/>
              </w:rPr>
              <w:t>采用 L2 正则化逻辑回归，排除 PageValues</w:t>
            </w:r>
          </w:p>
        </w:tc>
      </w:tr>
      <w:tr>
        <w:tc>
          <w:tcPr>
            <w:tcW w:type="dxa" w:w="2592"/>
            <w:vAlign w:val="center"/>
            <w:tcMar>
              <w:top w:w="100" w:type="dxa"/>
              <w:start w:w="120" w:type="dxa"/>
              <w:bottom w:w="100" w:type="dxa"/>
              <w:end w:w="120" w:type="dxa"/>
            </w:tcMar>
          </w:tcPr>
          <w:p>
            <w:pPr>
              <w:jc w:val="left"/>
            </w:pPr>
            <w:r>
              <w:rPr>
                <w:sz w:val="18"/>
              </w:rPr>
              <w:t>稳健性检验</w:t>
            </w:r>
          </w:p>
        </w:tc>
        <w:tc>
          <w:tcPr>
            <w:tcW w:type="dxa" w:w="6696"/>
            <w:vAlign w:val="center"/>
            <w:tcMar>
              <w:top w:w="100" w:type="dxa"/>
              <w:start w:w="120" w:type="dxa"/>
              <w:bottom w:w="100" w:type="dxa"/>
              <w:end w:w="120" w:type="dxa"/>
            </w:tcMar>
          </w:tcPr>
          <w:p>
            <w:pPr>
              <w:jc w:val="center"/>
            </w:pPr>
            <w:r>
              <w:rPr>
                <w:sz w:val="18"/>
              </w:rPr>
              <w:t>分别检验纳入 PageValues 以及原始数值与对数变换数值</w:t>
            </w:r>
          </w:p>
        </w:tc>
      </w:tr>
    </w:tbl>
    <w:p>
      <w:pPr>
        <w:spacing w:after="40"/>
      </w:pPr>
    </w:p>
    <w:p>
      <w:pPr>
        <w:pStyle w:val="Heading1"/>
      </w:pPr>
      <w:r>
        <w:t>2 数据审计与预处理</w:t>
      </w:r>
    </w:p>
    <w:p>
      <w:r>
        <w:t>两份文件均包含 18 列，即 17 个预测变量和目标变量 Revenue。所有质量检查在模型拟合前完成。测试集中的任何信息均未用于学习缺失值处理、类别水平、缩放参数、变换参数、超参数或分类阈值。</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7"/>
        <w:gridCol w:w="3267"/>
        <w:gridCol w:w="3267"/>
      </w:tblGrid>
      <w:tr>
        <w:trPr>
          <w:tblHeader w:val="true"/>
        </w:trPr>
        <w:tc>
          <w:tcPr>
            <w:tcW w:type="dxa" w:w="2232"/>
            <w:vAlign w:val="center"/>
            <w:shd w:fill="1F4E78"/>
            <w:tcMar>
              <w:top w:w="100" w:type="dxa"/>
              <w:start w:w="120" w:type="dxa"/>
              <w:bottom w:w="100" w:type="dxa"/>
              <w:end w:w="120" w:type="dxa"/>
            </w:tcMar>
          </w:tcPr>
          <w:p>
            <w:pPr>
              <w:jc w:val="center"/>
            </w:pPr>
            <w:r>
              <w:rPr>
                <w:b/>
                <w:color w:val="FFFFFF"/>
                <w:sz w:val="18"/>
              </w:rPr>
              <w:t>检查项目</w:t>
            </w:r>
          </w:p>
        </w:tc>
        <w:tc>
          <w:tcPr>
            <w:tcW w:type="dxa" w:w="3600"/>
            <w:vAlign w:val="center"/>
            <w:shd w:fill="1F4E78"/>
            <w:tcMar>
              <w:top w:w="100" w:type="dxa"/>
              <w:start w:w="120" w:type="dxa"/>
              <w:bottom w:w="100" w:type="dxa"/>
              <w:end w:w="120" w:type="dxa"/>
            </w:tcMar>
          </w:tcPr>
          <w:p>
            <w:pPr>
              <w:jc w:val="center"/>
            </w:pPr>
            <w:r>
              <w:rPr>
                <w:b/>
                <w:color w:val="FFFFFF"/>
                <w:sz w:val="18"/>
              </w:rPr>
              <w:t>发现</w:t>
            </w:r>
          </w:p>
        </w:tc>
        <w:tc>
          <w:tcPr>
            <w:tcW w:type="dxa" w:w="3456"/>
            <w:vAlign w:val="center"/>
            <w:shd w:fill="1F4E78"/>
            <w:tcMar>
              <w:top w:w="100" w:type="dxa"/>
              <w:start w:w="120" w:type="dxa"/>
              <w:bottom w:w="100" w:type="dxa"/>
              <w:end w:w="120" w:type="dxa"/>
            </w:tcMar>
          </w:tcPr>
          <w:p>
            <w:pPr>
              <w:jc w:val="center"/>
            </w:pPr>
            <w:r>
              <w:rPr>
                <w:b/>
                <w:color w:val="FFFFFF"/>
                <w:sz w:val="18"/>
              </w:rPr>
              <w:t>处理方式</w:t>
            </w:r>
          </w:p>
        </w:tc>
      </w:tr>
      <w:tr>
        <w:tc>
          <w:tcPr>
            <w:tcW w:type="dxa" w:w="2232"/>
            <w:vAlign w:val="center"/>
            <w:tcMar>
              <w:top w:w="100" w:type="dxa"/>
              <w:start w:w="120" w:type="dxa"/>
              <w:bottom w:w="100" w:type="dxa"/>
              <w:end w:w="120" w:type="dxa"/>
            </w:tcMar>
          </w:tcPr>
          <w:p>
            <w:pPr>
              <w:jc w:val="left"/>
            </w:pPr>
            <w:r>
              <w:rPr>
                <w:sz w:val="18"/>
              </w:rPr>
              <w:t>缺失值</w:t>
            </w:r>
          </w:p>
        </w:tc>
        <w:tc>
          <w:tcPr>
            <w:tcW w:type="dxa" w:w="3600"/>
            <w:vAlign w:val="center"/>
            <w:tcMar>
              <w:top w:w="100" w:type="dxa"/>
              <w:start w:w="120" w:type="dxa"/>
              <w:bottom w:w="100" w:type="dxa"/>
              <w:end w:w="120" w:type="dxa"/>
            </w:tcMar>
          </w:tcPr>
          <w:p>
            <w:pPr>
              <w:jc w:val="center"/>
            </w:pPr>
            <w:r>
              <w:rPr>
                <w:sz w:val="18"/>
              </w:rPr>
              <w:t>训练集 0 个单元格，测试集 0 个单元格</w:t>
            </w:r>
          </w:p>
        </w:tc>
        <w:tc>
          <w:tcPr>
            <w:tcW w:type="dxa" w:w="3456"/>
            <w:vAlign w:val="center"/>
            <w:tcMar>
              <w:top w:w="100" w:type="dxa"/>
              <w:start w:w="120" w:type="dxa"/>
              <w:bottom w:w="100" w:type="dxa"/>
              <w:end w:w="120" w:type="dxa"/>
            </w:tcMar>
          </w:tcPr>
          <w:p>
            <w:pPr>
              <w:jc w:val="center"/>
            </w:pPr>
            <w:r>
              <w:rPr>
                <w:sz w:val="18"/>
              </w:rPr>
              <w:t>无需插补</w:t>
            </w:r>
          </w:p>
        </w:tc>
      </w:tr>
      <w:tr>
        <w:tc>
          <w:tcPr>
            <w:tcW w:type="dxa" w:w="2232"/>
            <w:vAlign w:val="center"/>
            <w:tcMar>
              <w:top w:w="100" w:type="dxa"/>
              <w:start w:w="120" w:type="dxa"/>
              <w:bottom w:w="100" w:type="dxa"/>
              <w:end w:w="120" w:type="dxa"/>
            </w:tcMar>
            <w:shd w:fill="F4F8FB"/>
          </w:tcPr>
          <w:p>
            <w:pPr>
              <w:jc w:val="left"/>
            </w:pPr>
            <w:r>
              <w:rPr>
                <w:sz w:val="18"/>
              </w:rPr>
              <w:t>完全重复行</w:t>
            </w:r>
          </w:p>
        </w:tc>
        <w:tc>
          <w:tcPr>
            <w:tcW w:type="dxa" w:w="3600"/>
            <w:vAlign w:val="center"/>
            <w:tcMar>
              <w:top w:w="100" w:type="dxa"/>
              <w:start w:w="120" w:type="dxa"/>
              <w:bottom w:w="100" w:type="dxa"/>
              <w:end w:w="120" w:type="dxa"/>
            </w:tcMar>
            <w:shd w:fill="F4F8FB"/>
          </w:tcPr>
          <w:p>
            <w:pPr>
              <w:jc w:val="center"/>
            </w:pPr>
            <w:r>
              <w:rPr>
                <w:sz w:val="18"/>
              </w:rPr>
              <w:t>训练集 0 行，测试集 0 行，两文件合并后 0 行</w:t>
            </w:r>
          </w:p>
        </w:tc>
        <w:tc>
          <w:tcPr>
            <w:tcW w:type="dxa" w:w="3456"/>
            <w:vAlign w:val="center"/>
            <w:tcMar>
              <w:top w:w="100" w:type="dxa"/>
              <w:start w:w="120" w:type="dxa"/>
              <w:bottom w:w="100" w:type="dxa"/>
              <w:end w:w="120" w:type="dxa"/>
            </w:tcMar>
            <w:shd w:fill="F4F8FB"/>
          </w:tcPr>
          <w:p>
            <w:pPr>
              <w:jc w:val="center"/>
            </w:pPr>
            <w:r>
              <w:rPr>
                <w:sz w:val="18"/>
              </w:rPr>
              <w:t>不删除任何行</w:t>
            </w:r>
          </w:p>
        </w:tc>
      </w:tr>
      <w:tr>
        <w:tc>
          <w:tcPr>
            <w:tcW w:type="dxa" w:w="2232"/>
            <w:vAlign w:val="center"/>
            <w:tcMar>
              <w:top w:w="100" w:type="dxa"/>
              <w:start w:w="120" w:type="dxa"/>
              <w:bottom w:w="100" w:type="dxa"/>
              <w:end w:w="120" w:type="dxa"/>
            </w:tcMar>
          </w:tcPr>
          <w:p>
            <w:pPr>
              <w:jc w:val="left"/>
            </w:pPr>
            <w:r>
              <w:rPr>
                <w:sz w:val="18"/>
              </w:rPr>
              <w:t>数值变量负值</w:t>
            </w:r>
          </w:p>
        </w:tc>
        <w:tc>
          <w:tcPr>
            <w:tcW w:type="dxa" w:w="3600"/>
            <w:vAlign w:val="center"/>
            <w:tcMar>
              <w:top w:w="100" w:type="dxa"/>
              <w:start w:w="120" w:type="dxa"/>
              <w:bottom w:w="100" w:type="dxa"/>
              <w:end w:w="120" w:type="dxa"/>
            </w:tcMar>
          </w:tcPr>
          <w:p>
            <w:pPr>
              <w:jc w:val="center"/>
            </w:pPr>
            <w:r>
              <w:rPr>
                <w:sz w:val="18"/>
              </w:rPr>
              <w:t>训练集中 10 个数值变量均未发现负值</w:t>
            </w:r>
          </w:p>
        </w:tc>
        <w:tc>
          <w:tcPr>
            <w:tcW w:type="dxa" w:w="3456"/>
            <w:vAlign w:val="center"/>
            <w:tcMar>
              <w:top w:w="100" w:type="dxa"/>
              <w:start w:w="120" w:type="dxa"/>
              <w:bottom w:w="100" w:type="dxa"/>
              <w:end w:w="120" w:type="dxa"/>
            </w:tcMar>
          </w:tcPr>
          <w:p>
            <w:pPr>
              <w:jc w:val="center"/>
            </w:pPr>
            <w:r>
              <w:rPr>
                <w:sz w:val="18"/>
              </w:rPr>
              <w:t>无需范围修正</w:t>
            </w:r>
          </w:p>
        </w:tc>
      </w:tr>
      <w:tr>
        <w:tc>
          <w:tcPr>
            <w:tcW w:type="dxa" w:w="2232"/>
            <w:vAlign w:val="center"/>
            <w:tcMar>
              <w:top w:w="100" w:type="dxa"/>
              <w:start w:w="120" w:type="dxa"/>
              <w:bottom w:w="100" w:type="dxa"/>
              <w:end w:w="120" w:type="dxa"/>
            </w:tcMar>
            <w:shd w:fill="F4F8FB"/>
          </w:tcPr>
          <w:p>
            <w:pPr>
              <w:jc w:val="left"/>
            </w:pPr>
            <w:r>
              <w:rPr>
                <w:sz w:val="18"/>
              </w:rPr>
              <w:t>类别不平衡</w:t>
            </w:r>
          </w:p>
        </w:tc>
        <w:tc>
          <w:tcPr>
            <w:tcW w:type="dxa" w:w="3600"/>
            <w:vAlign w:val="center"/>
            <w:tcMar>
              <w:top w:w="100" w:type="dxa"/>
              <w:start w:w="120" w:type="dxa"/>
              <w:bottom w:w="100" w:type="dxa"/>
              <w:end w:w="120" w:type="dxa"/>
            </w:tcMar>
            <w:shd w:fill="F4F8FB"/>
          </w:tcPr>
          <w:p>
            <w:pPr>
              <w:jc w:val="center"/>
            </w:pPr>
            <w:r>
              <w:rPr>
                <w:sz w:val="18"/>
              </w:rPr>
              <w:t>购买会话 1,526 个，共 9,764 个训练会话，占 15.6%</w:t>
            </w:r>
          </w:p>
        </w:tc>
        <w:tc>
          <w:tcPr>
            <w:tcW w:type="dxa" w:w="3456"/>
            <w:vAlign w:val="center"/>
            <w:tcMar>
              <w:top w:w="100" w:type="dxa"/>
              <w:start w:w="120" w:type="dxa"/>
              <w:bottom w:w="100" w:type="dxa"/>
              <w:end w:w="120" w:type="dxa"/>
            </w:tcMar>
            <w:shd w:fill="F4F8FB"/>
          </w:tcPr>
          <w:p>
            <w:pPr>
              <w:jc w:val="center"/>
            </w:pPr>
            <w:r>
              <w:rPr>
                <w:sz w:val="18"/>
              </w:rPr>
              <w:t>除 ROC AUC 外同时报告 PR AUC、召回率、F1 和平衡准确率</w:t>
            </w:r>
          </w:p>
        </w:tc>
      </w:tr>
    </w:tbl>
    <w:p>
      <w:pPr>
        <w:spacing w:after="40"/>
      </w:pPr>
    </w:p>
    <w:p>
      <w:r>
        <w:t>全部预处理均封装于 scikit learn Pipeline。主模型中的 9 个数值变量在需要时作 log1p 变换后标准化；Month、OperatingSystems、Browser、Region、TrafficType、VisitorType 和 Weekend 进行独热编码，未见类别以全零编码处理。主规格中排除 PageValues。由于转换器在每一折训练数据上单独拟合，交叉验证过程不存在折间泄漏。</w:t>
      </w:r>
    </w:p>
    <w:p>
      <w:pPr>
        <w:pStyle w:val="Heading1"/>
      </w:pPr>
      <w:r>
        <w:t>3 探索性数据分析</w:t>
      </w:r>
    </w:p>
    <w:p>
      <w:r>
        <w:t>训练集中只有 15.6% 的会话最终产生购买，存在明显类别不平衡。若始终预测为未购买，表面准确率约为 84.4%，却无法识别任何购买者，因此不能把准确率作为主导指标。</w:t>
      </w:r>
    </w:p>
    <w:p>
      <w:pPr>
        <w:spacing w:before="60" w:after="20"/>
        <w:jc w:val="center"/>
      </w:pPr>
      <w:r>
        <w:drawing>
          <wp:inline xmlns:a="http://schemas.openxmlformats.org/drawingml/2006/main" xmlns:pic="http://schemas.openxmlformats.org/drawingml/2006/picture">
            <wp:extent cx="5623560" cy="2096161"/>
            <wp:docPr id="1" name="Picture 1"/>
            <wp:cNvGraphicFramePr>
              <a:graphicFrameLocks noChangeAspect="1"/>
            </wp:cNvGraphicFramePr>
            <a:graphic>
              <a:graphicData uri="http://schemas.openxmlformats.org/drawingml/2006/picture">
                <pic:pic>
                  <pic:nvPicPr>
                    <pic:cNvPr id="0" name="eda_class_balance_pagevalues.png"/>
                    <pic:cNvPicPr/>
                  </pic:nvPicPr>
                  <pic:blipFill>
                    <a:blip r:embed="rId10"/>
                    <a:stretch>
                      <a:fillRect/>
                    </a:stretch>
                  </pic:blipFill>
                  <pic:spPr>
                    <a:xfrm>
                      <a:off x="0" y="0"/>
                      <a:ext cx="5623560" cy="2096161"/>
                    </a:xfrm>
                    <a:prstGeom prst="rect"/>
                  </pic:spPr>
                </pic:pic>
              </a:graphicData>
            </a:graphic>
          </wp:inline>
        </w:drawing>
      </w:r>
    </w:p>
    <w:p>
      <w:pPr>
        <w:spacing w:before="20" w:after="180"/>
        <w:jc w:val="center"/>
      </w:pPr>
      <w:r>
        <w:rPr>
          <w:i/>
          <w:sz w:val="18"/>
        </w:rPr>
        <w:t>图1 训练集类别不平衡及 PageValues 与购买之间的强关联</w:t>
      </w:r>
    </w:p>
    <w:p>
      <w:r>
        <w:t>训练集中 77.9% 的会话 PageValues 为零。PageValues 为零时购买率仅为 4.1%，而 PageValues 为正时购买率达到 56.4%。该强烈反差支持 proposal 中提出的风险：PageValues 可能含有交易完成后才能获得的信息，或至少无法保证在预测时点可用。</w:t>
      </w:r>
    </w:p>
    <w:p>
      <w:pPr>
        <w:spacing w:before="60" w:after="20"/>
        <w:jc w:val="center"/>
      </w:pPr>
      <w:r>
        <w:drawing>
          <wp:inline xmlns:a="http://schemas.openxmlformats.org/drawingml/2006/main" xmlns:pic="http://schemas.openxmlformats.org/drawingml/2006/picture">
            <wp:extent cx="5623560" cy="5090802"/>
            <wp:docPr id="2" name="Picture 2"/>
            <wp:cNvGraphicFramePr>
              <a:graphicFrameLocks noChangeAspect="1"/>
            </wp:cNvGraphicFramePr>
            <a:graphic>
              <a:graphicData uri="http://schemas.openxmlformats.org/drawingml/2006/picture">
                <pic:pic>
                  <pic:nvPicPr>
                    <pic:cNvPr id="0" name="eda_numeric_spearman_heatmap.png"/>
                    <pic:cNvPicPr/>
                  </pic:nvPicPr>
                  <pic:blipFill>
                    <a:blip r:embed="rId11"/>
                    <a:stretch>
                      <a:fillRect/>
                    </a:stretch>
                  </pic:blipFill>
                  <pic:spPr>
                    <a:xfrm>
                      <a:off x="0" y="0"/>
                      <a:ext cx="5623560" cy="5090802"/>
                    </a:xfrm>
                    <a:prstGeom prst="rect"/>
                  </pic:spPr>
                </pic:pic>
              </a:graphicData>
            </a:graphic>
          </wp:inline>
        </w:drawing>
      </w:r>
    </w:p>
    <w:p>
      <w:pPr>
        <w:spacing w:before="20" w:after="180"/>
        <w:jc w:val="center"/>
      </w:pPr>
      <w:r>
        <w:rPr>
          <w:i/>
          <w:sz w:val="18"/>
        </w:rPr>
        <w:t>图2 主规格数值预测变量在训练集中的 Spearman 相关系数</w:t>
      </w:r>
    </w:p>
    <w:p>
      <w:r>
        <w:t>浏览页面数量和相应停留时长构成若干相关变量对，两个比率变量也呈相关，因此以方差膨胀因子检查系数稳定性。最高 VIF 分别为 ExitRates 的 5.95、BounceRates 的 5.49、ProductRelated 的 4.42 和 ProductRelated Duration 的 4.36。这些数值属于中等而非极端共线性，因此保留变量并采用 L2 正则化稳定估计；回归系数被解释为条件相关关系，而不是因果效应。</w:t>
      </w:r>
    </w:p>
    <w:p>
      <w:pPr>
        <w:spacing w:before="60" w:after="20"/>
        <w:jc w:val="center"/>
      </w:pPr>
      <w:r>
        <w:drawing>
          <wp:inline xmlns:a="http://schemas.openxmlformats.org/drawingml/2006/main" xmlns:pic="http://schemas.openxmlformats.org/drawingml/2006/picture">
            <wp:extent cx="5623560" cy="2761182"/>
            <wp:docPr id="3" name="Picture 3"/>
            <wp:cNvGraphicFramePr>
              <a:graphicFrameLocks noChangeAspect="1"/>
            </wp:cNvGraphicFramePr>
            <a:graphic>
              <a:graphicData uri="http://schemas.openxmlformats.org/drawingml/2006/picture">
                <pic:pic>
                  <pic:nvPicPr>
                    <pic:cNvPr id="0" name="eda_purchase_rate_month.png"/>
                    <pic:cNvPicPr/>
                  </pic:nvPicPr>
                  <pic:blipFill>
                    <a:blip r:embed="rId12"/>
                    <a:stretch>
                      <a:fillRect/>
                    </a:stretch>
                  </pic:blipFill>
                  <pic:spPr>
                    <a:xfrm>
                      <a:off x="0" y="0"/>
                      <a:ext cx="5623560" cy="2761182"/>
                    </a:xfrm>
                    <a:prstGeom prst="rect"/>
                  </pic:spPr>
                </pic:pic>
              </a:graphicData>
            </a:graphic>
          </wp:inline>
        </w:drawing>
      </w:r>
    </w:p>
    <w:p>
      <w:pPr>
        <w:spacing w:before="20" w:after="180"/>
        <w:jc w:val="center"/>
      </w:pPr>
      <w:r>
        <w:rPr>
          <w:i/>
          <w:sz w:val="18"/>
        </w:rPr>
        <w:t>图3 训练集按月份划分的购买率</w:t>
      </w:r>
    </w:p>
    <w:p>
      <w:pPr>
        <w:pStyle w:val="Heading1"/>
      </w:pPr>
      <w:r>
        <w:t>4 逻辑回归建模与调参</w:t>
      </w:r>
    </w:p>
    <w:p>
      <w:r>
        <w:t>主模型使用 liblinear 求解器、L2 惩罚、class_weight balanced 以及 max_iter 5000。正则化强度 C 在 0.01、0.1、1、10 和 100 中选择。由于购买类较少，使用平均精确率即 PR AUC 作为 GridSearchCV 的 refit 指标。五折均采用随机打乱后的分层划分，random_state 固定为 6805。</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34"/>
        <w:gridCol w:w="1634"/>
        <w:gridCol w:w="1634"/>
        <w:gridCol w:w="1634"/>
        <w:gridCol w:w="1634"/>
        <w:gridCol w:w="1634"/>
      </w:tblGrid>
      <w:tr>
        <w:trPr>
          <w:tblHeader w:val="true"/>
        </w:trPr>
        <w:tc>
          <w:tcPr>
            <w:tcW w:type="dxa" w:w="792"/>
            <w:vAlign w:val="center"/>
            <w:shd w:fill="1F4E78"/>
            <w:tcMar>
              <w:top w:w="100" w:type="dxa"/>
              <w:start w:w="120" w:type="dxa"/>
              <w:bottom w:w="100" w:type="dxa"/>
              <w:end w:w="120" w:type="dxa"/>
            </w:tcMar>
          </w:tcPr>
          <w:p>
            <w:pPr>
              <w:jc w:val="center"/>
            </w:pPr>
            <w:r>
              <w:rPr>
                <w:b/>
                <w:color w:val="FFFFFF"/>
                <w:sz w:val="18"/>
              </w:rPr>
              <w:t>C</w:t>
            </w:r>
          </w:p>
        </w:tc>
        <w:tc>
          <w:tcPr>
            <w:tcW w:type="dxa" w:w="1512"/>
            <w:vAlign w:val="center"/>
            <w:shd w:fill="1F4E78"/>
            <w:tcMar>
              <w:top w:w="100" w:type="dxa"/>
              <w:start w:w="120" w:type="dxa"/>
              <w:bottom w:w="100" w:type="dxa"/>
              <w:end w:w="120" w:type="dxa"/>
            </w:tcMar>
          </w:tcPr>
          <w:p>
            <w:pPr>
              <w:jc w:val="center"/>
            </w:pPr>
            <w:r>
              <w:rPr>
                <w:b/>
                <w:color w:val="FFFFFF"/>
                <w:sz w:val="18"/>
              </w:rPr>
              <w:t>平均 PR AUC</w:t>
            </w:r>
          </w:p>
        </w:tc>
        <w:tc>
          <w:tcPr>
            <w:tcW w:type="dxa" w:w="1368"/>
            <w:vAlign w:val="center"/>
            <w:shd w:fill="1F4E78"/>
            <w:tcMar>
              <w:top w:w="100" w:type="dxa"/>
              <w:start w:w="120" w:type="dxa"/>
              <w:bottom w:w="100" w:type="dxa"/>
              <w:end w:w="120" w:type="dxa"/>
            </w:tcMar>
          </w:tcPr>
          <w:p>
            <w:pPr>
              <w:jc w:val="center"/>
            </w:pPr>
            <w:r>
              <w:rPr>
                <w:b/>
                <w:color w:val="FFFFFF"/>
                <w:sz w:val="18"/>
              </w:rPr>
              <w:t>PR AUC 标准差</w:t>
            </w:r>
          </w:p>
        </w:tc>
        <w:tc>
          <w:tcPr>
            <w:tcW w:type="dxa" w:w="1699"/>
            <w:vAlign w:val="center"/>
            <w:shd w:fill="1F4E78"/>
            <w:tcMar>
              <w:top w:w="100" w:type="dxa"/>
              <w:start w:w="120" w:type="dxa"/>
              <w:bottom w:w="100" w:type="dxa"/>
              <w:end w:w="120" w:type="dxa"/>
            </w:tcMar>
          </w:tcPr>
          <w:p>
            <w:pPr>
              <w:jc w:val="center"/>
            </w:pPr>
            <w:r>
              <w:rPr>
                <w:b/>
                <w:color w:val="FFFFFF"/>
                <w:sz w:val="18"/>
              </w:rPr>
              <w:t>平均 ROC AUC</w:t>
            </w:r>
          </w:p>
        </w:tc>
        <w:tc>
          <w:tcPr>
            <w:tcW w:type="dxa" w:w="1296"/>
            <w:vAlign w:val="center"/>
            <w:shd w:fill="1F4E78"/>
            <w:tcMar>
              <w:top w:w="100" w:type="dxa"/>
              <w:start w:w="120" w:type="dxa"/>
              <w:bottom w:w="100" w:type="dxa"/>
              <w:end w:w="120" w:type="dxa"/>
            </w:tcMar>
          </w:tcPr>
          <w:p>
            <w:pPr>
              <w:jc w:val="center"/>
            </w:pPr>
            <w:r>
              <w:rPr>
                <w:b/>
                <w:color w:val="FFFFFF"/>
                <w:sz w:val="18"/>
              </w:rPr>
              <w:t>平均 F1</w:t>
            </w:r>
          </w:p>
        </w:tc>
        <w:tc>
          <w:tcPr>
            <w:tcW w:type="dxa" w:w="1440"/>
            <w:vAlign w:val="center"/>
            <w:shd w:fill="1F4E78"/>
            <w:tcMar>
              <w:top w:w="100" w:type="dxa"/>
              <w:start w:w="120" w:type="dxa"/>
              <w:bottom w:w="100" w:type="dxa"/>
              <w:end w:w="120" w:type="dxa"/>
            </w:tcMar>
          </w:tcPr>
          <w:p>
            <w:pPr>
              <w:jc w:val="center"/>
            </w:pPr>
            <w:r>
              <w:rPr>
                <w:b/>
                <w:color w:val="FFFFFF"/>
                <w:sz w:val="18"/>
              </w:rPr>
              <w:t>平均召回率</w:t>
            </w:r>
          </w:p>
        </w:tc>
      </w:tr>
      <w:tr>
        <w:tc>
          <w:tcPr>
            <w:tcW w:type="dxa" w:w="792"/>
            <w:vAlign w:val="center"/>
            <w:tcMar>
              <w:top w:w="100" w:type="dxa"/>
              <w:start w:w="120" w:type="dxa"/>
              <w:bottom w:w="100" w:type="dxa"/>
              <w:end w:w="120" w:type="dxa"/>
            </w:tcMar>
          </w:tcPr>
          <w:p>
            <w:pPr>
              <w:jc w:val="left"/>
            </w:pPr>
            <w:r>
              <w:rPr>
                <w:sz w:val="18"/>
              </w:rPr>
              <w:t>0.01</w:t>
            </w:r>
          </w:p>
        </w:tc>
        <w:tc>
          <w:tcPr>
            <w:tcW w:type="dxa" w:w="1512"/>
            <w:vAlign w:val="center"/>
            <w:tcMar>
              <w:top w:w="100" w:type="dxa"/>
              <w:start w:w="120" w:type="dxa"/>
              <w:bottom w:w="100" w:type="dxa"/>
              <w:end w:w="120" w:type="dxa"/>
            </w:tcMar>
          </w:tcPr>
          <w:p>
            <w:pPr>
              <w:jc w:val="center"/>
            </w:pPr>
            <w:r>
              <w:rPr>
                <w:sz w:val="18"/>
              </w:rPr>
              <w:t>0.340</w:t>
            </w:r>
          </w:p>
        </w:tc>
        <w:tc>
          <w:tcPr>
            <w:tcW w:type="dxa" w:w="1368"/>
            <w:vAlign w:val="center"/>
            <w:tcMar>
              <w:top w:w="100" w:type="dxa"/>
              <w:start w:w="120" w:type="dxa"/>
              <w:bottom w:w="100" w:type="dxa"/>
              <w:end w:w="120" w:type="dxa"/>
            </w:tcMar>
          </w:tcPr>
          <w:p>
            <w:pPr>
              <w:jc w:val="center"/>
            </w:pPr>
            <w:r>
              <w:rPr>
                <w:sz w:val="18"/>
              </w:rPr>
              <w:t>0.020</w:t>
            </w:r>
          </w:p>
        </w:tc>
        <w:tc>
          <w:tcPr>
            <w:tcW w:type="dxa" w:w="1699"/>
            <w:vAlign w:val="center"/>
            <w:tcMar>
              <w:top w:w="100" w:type="dxa"/>
              <w:start w:w="120" w:type="dxa"/>
              <w:bottom w:w="100" w:type="dxa"/>
              <w:end w:w="120" w:type="dxa"/>
            </w:tcMar>
          </w:tcPr>
          <w:p>
            <w:pPr>
              <w:jc w:val="center"/>
            </w:pPr>
            <w:r>
              <w:rPr>
                <w:sz w:val="18"/>
              </w:rPr>
              <w:t>0.751</w:t>
            </w:r>
          </w:p>
        </w:tc>
        <w:tc>
          <w:tcPr>
            <w:tcW w:type="dxa" w:w="1296"/>
            <w:vAlign w:val="center"/>
            <w:tcMar>
              <w:top w:w="100" w:type="dxa"/>
              <w:start w:w="120" w:type="dxa"/>
              <w:bottom w:w="100" w:type="dxa"/>
              <w:end w:w="120" w:type="dxa"/>
            </w:tcMar>
          </w:tcPr>
          <w:p>
            <w:pPr>
              <w:jc w:val="center"/>
            </w:pPr>
            <w:r>
              <w:rPr>
                <w:sz w:val="18"/>
              </w:rPr>
              <w:t>0.393</w:t>
            </w:r>
          </w:p>
        </w:tc>
        <w:tc>
          <w:tcPr>
            <w:tcW w:type="dxa" w:w="1440"/>
            <w:vAlign w:val="center"/>
            <w:tcMar>
              <w:top w:w="100" w:type="dxa"/>
              <w:start w:w="120" w:type="dxa"/>
              <w:bottom w:w="100" w:type="dxa"/>
              <w:end w:w="120" w:type="dxa"/>
            </w:tcMar>
          </w:tcPr>
          <w:p>
            <w:pPr>
              <w:jc w:val="center"/>
            </w:pPr>
            <w:r>
              <w:rPr>
                <w:sz w:val="18"/>
              </w:rPr>
              <w:t>0.756</w:t>
            </w:r>
          </w:p>
        </w:tc>
      </w:tr>
      <w:tr>
        <w:tc>
          <w:tcPr>
            <w:tcW w:type="dxa" w:w="792"/>
            <w:vAlign w:val="center"/>
            <w:tcMar>
              <w:top w:w="100" w:type="dxa"/>
              <w:start w:w="120" w:type="dxa"/>
              <w:bottom w:w="100" w:type="dxa"/>
              <w:end w:w="120" w:type="dxa"/>
            </w:tcMar>
            <w:shd w:fill="F4F8FB"/>
          </w:tcPr>
          <w:p>
            <w:pPr>
              <w:jc w:val="left"/>
            </w:pPr>
            <w:r>
              <w:rPr>
                <w:sz w:val="18"/>
              </w:rPr>
              <w:t>0.10</w:t>
            </w:r>
          </w:p>
        </w:tc>
        <w:tc>
          <w:tcPr>
            <w:tcW w:type="dxa" w:w="1512"/>
            <w:vAlign w:val="center"/>
            <w:tcMar>
              <w:top w:w="100" w:type="dxa"/>
              <w:start w:w="120" w:type="dxa"/>
              <w:bottom w:w="100" w:type="dxa"/>
              <w:end w:w="120" w:type="dxa"/>
            </w:tcMar>
            <w:shd w:fill="F4F8FB"/>
          </w:tcPr>
          <w:p>
            <w:pPr>
              <w:jc w:val="center"/>
            </w:pPr>
            <w:r>
              <w:rPr>
                <w:sz w:val="18"/>
              </w:rPr>
              <w:t>0.338</w:t>
            </w:r>
          </w:p>
        </w:tc>
        <w:tc>
          <w:tcPr>
            <w:tcW w:type="dxa" w:w="1368"/>
            <w:vAlign w:val="center"/>
            <w:tcMar>
              <w:top w:w="100" w:type="dxa"/>
              <w:start w:w="120" w:type="dxa"/>
              <w:bottom w:w="100" w:type="dxa"/>
              <w:end w:w="120" w:type="dxa"/>
            </w:tcMar>
            <w:shd w:fill="F4F8FB"/>
          </w:tcPr>
          <w:p>
            <w:pPr>
              <w:jc w:val="center"/>
            </w:pPr>
            <w:r>
              <w:rPr>
                <w:sz w:val="18"/>
              </w:rPr>
              <w:t>0.023</w:t>
            </w:r>
          </w:p>
        </w:tc>
        <w:tc>
          <w:tcPr>
            <w:tcW w:type="dxa" w:w="1699"/>
            <w:vAlign w:val="center"/>
            <w:tcMar>
              <w:top w:w="100" w:type="dxa"/>
              <w:start w:w="120" w:type="dxa"/>
              <w:bottom w:w="100" w:type="dxa"/>
              <w:end w:w="120" w:type="dxa"/>
            </w:tcMar>
            <w:shd w:fill="F4F8FB"/>
          </w:tcPr>
          <w:p>
            <w:pPr>
              <w:jc w:val="center"/>
            </w:pPr>
            <w:r>
              <w:rPr>
                <w:sz w:val="18"/>
              </w:rPr>
              <w:t>0.753</w:t>
            </w:r>
          </w:p>
        </w:tc>
        <w:tc>
          <w:tcPr>
            <w:tcW w:type="dxa" w:w="1296"/>
            <w:vAlign w:val="center"/>
            <w:tcMar>
              <w:top w:w="100" w:type="dxa"/>
              <w:start w:w="120" w:type="dxa"/>
              <w:bottom w:w="100" w:type="dxa"/>
              <w:end w:w="120" w:type="dxa"/>
            </w:tcMar>
            <w:shd w:fill="F4F8FB"/>
          </w:tcPr>
          <w:p>
            <w:pPr>
              <w:jc w:val="center"/>
            </w:pPr>
            <w:r>
              <w:rPr>
                <w:sz w:val="18"/>
              </w:rPr>
              <w:t>0.396</w:t>
            </w:r>
          </w:p>
        </w:tc>
        <w:tc>
          <w:tcPr>
            <w:tcW w:type="dxa" w:w="1440"/>
            <w:vAlign w:val="center"/>
            <w:tcMar>
              <w:top w:w="100" w:type="dxa"/>
              <w:start w:w="120" w:type="dxa"/>
              <w:bottom w:w="100" w:type="dxa"/>
              <w:end w:w="120" w:type="dxa"/>
            </w:tcMar>
            <w:shd w:fill="F4F8FB"/>
          </w:tcPr>
          <w:p>
            <w:pPr>
              <w:jc w:val="center"/>
            </w:pPr>
            <w:r>
              <w:rPr>
                <w:sz w:val="18"/>
              </w:rPr>
              <w:t>0.744</w:t>
            </w:r>
          </w:p>
        </w:tc>
      </w:tr>
      <w:tr>
        <w:tc>
          <w:tcPr>
            <w:tcW w:type="dxa" w:w="792"/>
            <w:vAlign w:val="center"/>
            <w:tcMar>
              <w:top w:w="100" w:type="dxa"/>
              <w:start w:w="120" w:type="dxa"/>
              <w:bottom w:w="100" w:type="dxa"/>
              <w:end w:w="120" w:type="dxa"/>
            </w:tcMar>
          </w:tcPr>
          <w:p>
            <w:pPr>
              <w:jc w:val="left"/>
            </w:pPr>
            <w:r>
              <w:rPr>
                <w:sz w:val="18"/>
              </w:rPr>
              <w:t>1.00</w:t>
            </w:r>
          </w:p>
        </w:tc>
        <w:tc>
          <w:tcPr>
            <w:tcW w:type="dxa" w:w="1512"/>
            <w:vAlign w:val="center"/>
            <w:tcMar>
              <w:top w:w="100" w:type="dxa"/>
              <w:start w:w="120" w:type="dxa"/>
              <w:bottom w:w="100" w:type="dxa"/>
              <w:end w:w="120" w:type="dxa"/>
            </w:tcMar>
          </w:tcPr>
          <w:p>
            <w:pPr>
              <w:jc w:val="center"/>
            </w:pPr>
            <w:r>
              <w:rPr>
                <w:sz w:val="18"/>
              </w:rPr>
              <w:t>0.336</w:t>
            </w:r>
          </w:p>
        </w:tc>
        <w:tc>
          <w:tcPr>
            <w:tcW w:type="dxa" w:w="1368"/>
            <w:vAlign w:val="center"/>
            <w:tcMar>
              <w:top w:w="100" w:type="dxa"/>
              <w:start w:w="120" w:type="dxa"/>
              <w:bottom w:w="100" w:type="dxa"/>
              <w:end w:w="120" w:type="dxa"/>
            </w:tcMar>
          </w:tcPr>
          <w:p>
            <w:pPr>
              <w:jc w:val="center"/>
            </w:pPr>
            <w:r>
              <w:rPr>
                <w:sz w:val="18"/>
              </w:rPr>
              <w:t>0.025</w:t>
            </w:r>
          </w:p>
        </w:tc>
        <w:tc>
          <w:tcPr>
            <w:tcW w:type="dxa" w:w="1699"/>
            <w:vAlign w:val="center"/>
            <w:tcMar>
              <w:top w:w="100" w:type="dxa"/>
              <w:start w:w="120" w:type="dxa"/>
              <w:bottom w:w="100" w:type="dxa"/>
              <w:end w:w="120" w:type="dxa"/>
            </w:tcMar>
          </w:tcPr>
          <w:p>
            <w:pPr>
              <w:jc w:val="center"/>
            </w:pPr>
            <w:r>
              <w:rPr>
                <w:sz w:val="18"/>
              </w:rPr>
              <w:t>0.752</w:t>
            </w:r>
          </w:p>
        </w:tc>
        <w:tc>
          <w:tcPr>
            <w:tcW w:type="dxa" w:w="1296"/>
            <w:vAlign w:val="center"/>
            <w:tcMar>
              <w:top w:w="100" w:type="dxa"/>
              <w:start w:w="120" w:type="dxa"/>
              <w:bottom w:w="100" w:type="dxa"/>
              <w:end w:w="120" w:type="dxa"/>
            </w:tcMar>
          </w:tcPr>
          <w:p>
            <w:pPr>
              <w:jc w:val="center"/>
            </w:pPr>
            <w:r>
              <w:rPr>
                <w:sz w:val="18"/>
              </w:rPr>
              <w:t>0.394</w:t>
            </w:r>
          </w:p>
        </w:tc>
        <w:tc>
          <w:tcPr>
            <w:tcW w:type="dxa" w:w="1440"/>
            <w:vAlign w:val="center"/>
            <w:tcMar>
              <w:top w:w="100" w:type="dxa"/>
              <w:start w:w="120" w:type="dxa"/>
              <w:bottom w:w="100" w:type="dxa"/>
              <w:end w:w="120" w:type="dxa"/>
            </w:tcMar>
          </w:tcPr>
          <w:p>
            <w:pPr>
              <w:jc w:val="center"/>
            </w:pPr>
            <w:r>
              <w:rPr>
                <w:sz w:val="18"/>
              </w:rPr>
              <w:t>0.739</w:t>
            </w:r>
          </w:p>
        </w:tc>
      </w:tr>
      <w:tr>
        <w:tc>
          <w:tcPr>
            <w:tcW w:type="dxa" w:w="792"/>
            <w:vAlign w:val="center"/>
            <w:tcMar>
              <w:top w:w="100" w:type="dxa"/>
              <w:start w:w="120" w:type="dxa"/>
              <w:bottom w:w="100" w:type="dxa"/>
              <w:end w:w="120" w:type="dxa"/>
            </w:tcMar>
            <w:shd w:fill="F4F8FB"/>
          </w:tcPr>
          <w:p>
            <w:pPr>
              <w:jc w:val="left"/>
            </w:pPr>
            <w:r>
              <w:rPr>
                <w:sz w:val="18"/>
              </w:rPr>
              <w:t>10.00</w:t>
            </w:r>
          </w:p>
        </w:tc>
        <w:tc>
          <w:tcPr>
            <w:tcW w:type="dxa" w:w="1512"/>
            <w:vAlign w:val="center"/>
            <w:tcMar>
              <w:top w:w="100" w:type="dxa"/>
              <w:start w:w="120" w:type="dxa"/>
              <w:bottom w:w="100" w:type="dxa"/>
              <w:end w:w="120" w:type="dxa"/>
            </w:tcMar>
            <w:shd w:fill="F4F8FB"/>
          </w:tcPr>
          <w:p>
            <w:pPr>
              <w:jc w:val="center"/>
            </w:pPr>
            <w:r>
              <w:rPr>
                <w:sz w:val="18"/>
              </w:rPr>
              <w:t>0.335</w:t>
            </w:r>
          </w:p>
        </w:tc>
        <w:tc>
          <w:tcPr>
            <w:tcW w:type="dxa" w:w="1368"/>
            <w:vAlign w:val="center"/>
            <w:tcMar>
              <w:top w:w="100" w:type="dxa"/>
              <w:start w:w="120" w:type="dxa"/>
              <w:bottom w:w="100" w:type="dxa"/>
              <w:end w:w="120" w:type="dxa"/>
            </w:tcMar>
            <w:shd w:fill="F4F8FB"/>
          </w:tcPr>
          <w:p>
            <w:pPr>
              <w:jc w:val="center"/>
            </w:pPr>
            <w:r>
              <w:rPr>
                <w:sz w:val="18"/>
              </w:rPr>
              <w:t>0.024</w:t>
            </w:r>
          </w:p>
        </w:tc>
        <w:tc>
          <w:tcPr>
            <w:tcW w:type="dxa" w:w="1699"/>
            <w:vAlign w:val="center"/>
            <w:tcMar>
              <w:top w:w="100" w:type="dxa"/>
              <w:start w:w="120" w:type="dxa"/>
              <w:bottom w:w="100" w:type="dxa"/>
              <w:end w:w="120" w:type="dxa"/>
            </w:tcMar>
            <w:shd w:fill="F4F8FB"/>
          </w:tcPr>
          <w:p>
            <w:pPr>
              <w:jc w:val="center"/>
            </w:pPr>
            <w:r>
              <w:rPr>
                <w:sz w:val="18"/>
              </w:rPr>
              <w:t>0.751</w:t>
            </w:r>
          </w:p>
        </w:tc>
        <w:tc>
          <w:tcPr>
            <w:tcW w:type="dxa" w:w="1296"/>
            <w:vAlign w:val="center"/>
            <w:tcMar>
              <w:top w:w="100" w:type="dxa"/>
              <w:start w:w="120" w:type="dxa"/>
              <w:bottom w:w="100" w:type="dxa"/>
              <w:end w:w="120" w:type="dxa"/>
            </w:tcMar>
            <w:shd w:fill="F4F8FB"/>
          </w:tcPr>
          <w:p>
            <w:pPr>
              <w:jc w:val="center"/>
            </w:pPr>
            <w:r>
              <w:rPr>
                <w:sz w:val="18"/>
              </w:rPr>
              <w:t>0.394</w:t>
            </w:r>
          </w:p>
        </w:tc>
        <w:tc>
          <w:tcPr>
            <w:tcW w:type="dxa" w:w="1440"/>
            <w:vAlign w:val="center"/>
            <w:tcMar>
              <w:top w:w="100" w:type="dxa"/>
              <w:start w:w="120" w:type="dxa"/>
              <w:bottom w:w="100" w:type="dxa"/>
              <w:end w:w="120" w:type="dxa"/>
            </w:tcMar>
            <w:shd w:fill="F4F8FB"/>
          </w:tcPr>
          <w:p>
            <w:pPr>
              <w:jc w:val="center"/>
            </w:pPr>
            <w:r>
              <w:rPr>
                <w:sz w:val="18"/>
              </w:rPr>
              <w:t>0.740</w:t>
            </w:r>
          </w:p>
        </w:tc>
      </w:tr>
      <w:tr>
        <w:tc>
          <w:tcPr>
            <w:tcW w:type="dxa" w:w="792"/>
            <w:vAlign w:val="center"/>
            <w:tcMar>
              <w:top w:w="100" w:type="dxa"/>
              <w:start w:w="120" w:type="dxa"/>
              <w:bottom w:w="100" w:type="dxa"/>
              <w:end w:w="120" w:type="dxa"/>
            </w:tcMar>
          </w:tcPr>
          <w:p>
            <w:pPr>
              <w:jc w:val="left"/>
            </w:pPr>
            <w:r>
              <w:rPr>
                <w:sz w:val="18"/>
              </w:rPr>
              <w:t>100.00</w:t>
            </w:r>
          </w:p>
        </w:tc>
        <w:tc>
          <w:tcPr>
            <w:tcW w:type="dxa" w:w="1512"/>
            <w:vAlign w:val="center"/>
            <w:tcMar>
              <w:top w:w="100" w:type="dxa"/>
              <w:start w:w="120" w:type="dxa"/>
              <w:bottom w:w="100" w:type="dxa"/>
              <w:end w:w="120" w:type="dxa"/>
            </w:tcMar>
          </w:tcPr>
          <w:p>
            <w:pPr>
              <w:jc w:val="center"/>
            </w:pPr>
            <w:r>
              <w:rPr>
                <w:sz w:val="18"/>
              </w:rPr>
              <w:t>0.335</w:t>
            </w:r>
          </w:p>
        </w:tc>
        <w:tc>
          <w:tcPr>
            <w:tcW w:type="dxa" w:w="1368"/>
            <w:vAlign w:val="center"/>
            <w:tcMar>
              <w:top w:w="100" w:type="dxa"/>
              <w:start w:w="120" w:type="dxa"/>
              <w:bottom w:w="100" w:type="dxa"/>
              <w:end w:w="120" w:type="dxa"/>
            </w:tcMar>
          </w:tcPr>
          <w:p>
            <w:pPr>
              <w:jc w:val="center"/>
            </w:pPr>
            <w:r>
              <w:rPr>
                <w:sz w:val="18"/>
              </w:rPr>
              <w:t>0.024</w:t>
            </w:r>
          </w:p>
        </w:tc>
        <w:tc>
          <w:tcPr>
            <w:tcW w:type="dxa" w:w="1699"/>
            <w:vAlign w:val="center"/>
            <w:tcMar>
              <w:top w:w="100" w:type="dxa"/>
              <w:start w:w="120" w:type="dxa"/>
              <w:bottom w:w="100" w:type="dxa"/>
              <w:end w:w="120" w:type="dxa"/>
            </w:tcMar>
          </w:tcPr>
          <w:p>
            <w:pPr>
              <w:jc w:val="center"/>
            </w:pPr>
            <w:r>
              <w:rPr>
                <w:sz w:val="18"/>
              </w:rPr>
              <w:t>0.751</w:t>
            </w:r>
          </w:p>
        </w:tc>
        <w:tc>
          <w:tcPr>
            <w:tcW w:type="dxa" w:w="1296"/>
            <w:vAlign w:val="center"/>
            <w:tcMar>
              <w:top w:w="100" w:type="dxa"/>
              <w:start w:w="120" w:type="dxa"/>
              <w:bottom w:w="100" w:type="dxa"/>
              <w:end w:w="120" w:type="dxa"/>
            </w:tcMar>
          </w:tcPr>
          <w:p>
            <w:pPr>
              <w:jc w:val="center"/>
            </w:pPr>
            <w:r>
              <w:rPr>
                <w:sz w:val="18"/>
              </w:rPr>
              <w:t>0.394</w:t>
            </w:r>
          </w:p>
        </w:tc>
        <w:tc>
          <w:tcPr>
            <w:tcW w:type="dxa" w:w="1440"/>
            <w:vAlign w:val="center"/>
            <w:tcMar>
              <w:top w:w="100" w:type="dxa"/>
              <w:start w:w="120" w:type="dxa"/>
              <w:bottom w:w="100" w:type="dxa"/>
              <w:end w:w="120" w:type="dxa"/>
            </w:tcMar>
          </w:tcPr>
          <w:p>
            <w:pPr>
              <w:jc w:val="center"/>
            </w:pPr>
            <w:r>
              <w:rPr>
                <w:sz w:val="18"/>
              </w:rPr>
              <w:t>0.740</w:t>
            </w:r>
          </w:p>
        </w:tc>
      </w:tr>
    </w:tbl>
    <w:p>
      <w:pPr>
        <w:spacing w:after="40"/>
      </w:pPr>
    </w:p>
    <w:p>
      <w:r>
        <w:t>主模型最终选择 C = 0.01，对应平均交叉验证 PR AUC 为 0.340。概率阈值不在测试集上调优：在确定 C 后，利用训练集五折外折预测概率选择最大化 F1 的阈值。因此，最终主模型使用阈值 0.548 进行测试集分类。</w:t>
      </w:r>
    </w:p>
    <w:p>
      <w:pPr>
        <w:pStyle w:val="Heading1"/>
      </w:pPr>
      <w:r>
        <w:t>5 独立测试集结果</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5"/>
        <w:gridCol w:w="1225"/>
        <w:gridCol w:w="1225"/>
        <w:gridCol w:w="1225"/>
        <w:gridCol w:w="1225"/>
        <w:gridCol w:w="1225"/>
        <w:gridCol w:w="1225"/>
        <w:gridCol w:w="1225"/>
      </w:tblGrid>
      <w:tr>
        <w:trPr>
          <w:tblHeader w:val="true"/>
        </w:trPr>
        <w:tc>
          <w:tcPr>
            <w:tcW w:type="dxa" w:w="2304"/>
            <w:vAlign w:val="center"/>
            <w:shd w:fill="1F4E78"/>
            <w:tcMar>
              <w:top w:w="100" w:type="dxa"/>
              <w:start w:w="120" w:type="dxa"/>
              <w:bottom w:w="100" w:type="dxa"/>
              <w:end w:w="120" w:type="dxa"/>
            </w:tcMar>
          </w:tcPr>
          <w:p>
            <w:pPr>
              <w:jc w:val="center"/>
            </w:pPr>
            <w:r>
              <w:rPr>
                <w:b/>
                <w:color w:val="FFFFFF"/>
                <w:sz w:val="18"/>
              </w:rPr>
              <w:t>模型规格</w:t>
            </w:r>
          </w:p>
        </w:tc>
        <w:tc>
          <w:tcPr>
            <w:tcW w:type="dxa" w:w="936"/>
            <w:vAlign w:val="center"/>
            <w:shd w:fill="1F4E78"/>
            <w:tcMar>
              <w:top w:w="100" w:type="dxa"/>
              <w:start w:w="120" w:type="dxa"/>
              <w:bottom w:w="100" w:type="dxa"/>
              <w:end w:w="120" w:type="dxa"/>
            </w:tcMar>
          </w:tcPr>
          <w:p>
            <w:pPr>
              <w:jc w:val="center"/>
            </w:pPr>
            <w:r>
              <w:rPr>
                <w:b/>
                <w:color w:val="FFFFFF"/>
                <w:sz w:val="18"/>
              </w:rPr>
              <w:t>阈值</w:t>
            </w:r>
          </w:p>
        </w:tc>
        <w:tc>
          <w:tcPr>
            <w:tcW w:type="dxa" w:w="893"/>
            <w:vAlign w:val="center"/>
            <w:shd w:fill="1F4E78"/>
            <w:tcMar>
              <w:top w:w="100" w:type="dxa"/>
              <w:start w:w="120" w:type="dxa"/>
              <w:bottom w:w="100" w:type="dxa"/>
              <w:end w:w="120" w:type="dxa"/>
            </w:tcMar>
          </w:tcPr>
          <w:p>
            <w:pPr>
              <w:jc w:val="center"/>
            </w:pPr>
            <w:r>
              <w:rPr>
                <w:b/>
                <w:color w:val="FFFFFF"/>
                <w:sz w:val="18"/>
              </w:rPr>
              <w:t>ROC AUC</w:t>
            </w:r>
          </w:p>
        </w:tc>
        <w:tc>
          <w:tcPr>
            <w:tcW w:type="dxa" w:w="893"/>
            <w:vAlign w:val="center"/>
            <w:shd w:fill="1F4E78"/>
            <w:tcMar>
              <w:top w:w="100" w:type="dxa"/>
              <w:start w:w="120" w:type="dxa"/>
              <w:bottom w:w="100" w:type="dxa"/>
              <w:end w:w="120" w:type="dxa"/>
            </w:tcMar>
          </w:tcPr>
          <w:p>
            <w:pPr>
              <w:jc w:val="center"/>
            </w:pPr>
            <w:r>
              <w:rPr>
                <w:b/>
                <w:color w:val="FFFFFF"/>
                <w:sz w:val="18"/>
              </w:rPr>
              <w:t>PR AUC</w:t>
            </w:r>
          </w:p>
        </w:tc>
        <w:tc>
          <w:tcPr>
            <w:tcW w:type="dxa" w:w="1080"/>
            <w:vAlign w:val="center"/>
            <w:shd w:fill="1F4E78"/>
            <w:tcMar>
              <w:top w:w="100" w:type="dxa"/>
              <w:start w:w="120" w:type="dxa"/>
              <w:bottom w:w="100" w:type="dxa"/>
              <w:end w:w="120" w:type="dxa"/>
            </w:tcMar>
          </w:tcPr>
          <w:p>
            <w:pPr>
              <w:jc w:val="center"/>
            </w:pPr>
            <w:r>
              <w:rPr>
                <w:b/>
                <w:color w:val="FFFFFF"/>
                <w:sz w:val="18"/>
              </w:rPr>
              <w:t>精确率</w:t>
            </w:r>
          </w:p>
        </w:tc>
        <w:tc>
          <w:tcPr>
            <w:tcW w:type="dxa" w:w="936"/>
            <w:vAlign w:val="center"/>
            <w:shd w:fill="1F4E78"/>
            <w:tcMar>
              <w:top w:w="100" w:type="dxa"/>
              <w:start w:w="120" w:type="dxa"/>
              <w:bottom w:w="100" w:type="dxa"/>
              <w:end w:w="120" w:type="dxa"/>
            </w:tcMar>
          </w:tcPr>
          <w:p>
            <w:pPr>
              <w:jc w:val="center"/>
            </w:pPr>
            <w:r>
              <w:rPr>
                <w:b/>
                <w:color w:val="FFFFFF"/>
                <w:sz w:val="18"/>
              </w:rPr>
              <w:t>召回率</w:t>
            </w:r>
          </w:p>
        </w:tc>
        <w:tc>
          <w:tcPr>
            <w:tcW w:type="dxa" w:w="648"/>
            <w:vAlign w:val="center"/>
            <w:shd w:fill="1F4E78"/>
            <w:tcMar>
              <w:top w:w="100" w:type="dxa"/>
              <w:start w:w="120" w:type="dxa"/>
              <w:bottom w:w="100" w:type="dxa"/>
              <w:end w:w="120" w:type="dxa"/>
            </w:tcMar>
          </w:tcPr>
          <w:p>
            <w:pPr>
              <w:jc w:val="center"/>
            </w:pPr>
            <w:r>
              <w:rPr>
                <w:b/>
                <w:color w:val="FFFFFF"/>
                <w:sz w:val="18"/>
              </w:rPr>
              <w:t>F1</w:t>
            </w:r>
          </w:p>
        </w:tc>
        <w:tc>
          <w:tcPr>
            <w:tcW w:type="dxa" w:w="1325"/>
            <w:vAlign w:val="center"/>
            <w:shd w:fill="1F4E78"/>
            <w:tcMar>
              <w:top w:w="100" w:type="dxa"/>
              <w:start w:w="120" w:type="dxa"/>
              <w:bottom w:w="100" w:type="dxa"/>
              <w:end w:w="120" w:type="dxa"/>
            </w:tcMar>
          </w:tcPr>
          <w:p>
            <w:pPr>
              <w:jc w:val="center"/>
            </w:pPr>
            <w:r>
              <w:rPr>
                <w:b/>
                <w:color w:val="FFFFFF"/>
                <w:sz w:val="18"/>
              </w:rPr>
              <w:t>平衡准确率</w:t>
            </w:r>
          </w:p>
        </w:tc>
      </w:tr>
      <w:tr>
        <w:tc>
          <w:tcPr>
            <w:tcW w:type="dxa" w:w="2304"/>
            <w:vAlign w:val="center"/>
            <w:tcMar>
              <w:top w:w="100" w:type="dxa"/>
              <w:start w:w="120" w:type="dxa"/>
              <w:bottom w:w="100" w:type="dxa"/>
              <w:end w:w="120" w:type="dxa"/>
            </w:tcMar>
          </w:tcPr>
          <w:p>
            <w:pPr>
              <w:jc w:val="left"/>
            </w:pPr>
            <w:r>
              <w:rPr>
                <w:sz w:val="18"/>
              </w:rPr>
              <w:t>主模型 不含 PageValues</w:t>
            </w:r>
          </w:p>
        </w:tc>
        <w:tc>
          <w:tcPr>
            <w:tcW w:type="dxa" w:w="936"/>
            <w:vAlign w:val="center"/>
            <w:tcMar>
              <w:top w:w="100" w:type="dxa"/>
              <w:start w:w="120" w:type="dxa"/>
              <w:bottom w:w="100" w:type="dxa"/>
              <w:end w:w="120" w:type="dxa"/>
            </w:tcMar>
          </w:tcPr>
          <w:p>
            <w:pPr>
              <w:jc w:val="center"/>
            </w:pPr>
            <w:r>
              <w:rPr>
                <w:sz w:val="18"/>
              </w:rPr>
              <w:t>0.548</w:t>
            </w:r>
          </w:p>
        </w:tc>
        <w:tc>
          <w:tcPr>
            <w:tcW w:type="dxa" w:w="893"/>
            <w:vAlign w:val="center"/>
            <w:tcMar>
              <w:top w:w="100" w:type="dxa"/>
              <w:start w:w="120" w:type="dxa"/>
              <w:bottom w:w="100" w:type="dxa"/>
              <w:end w:w="120" w:type="dxa"/>
            </w:tcMar>
          </w:tcPr>
          <w:p>
            <w:pPr>
              <w:jc w:val="center"/>
            </w:pPr>
            <w:r>
              <w:rPr>
                <w:sz w:val="18"/>
              </w:rPr>
              <w:t>0.757</w:t>
            </w:r>
          </w:p>
        </w:tc>
        <w:tc>
          <w:tcPr>
            <w:tcW w:type="dxa" w:w="893"/>
            <w:vAlign w:val="center"/>
            <w:tcMar>
              <w:top w:w="100" w:type="dxa"/>
              <w:start w:w="120" w:type="dxa"/>
              <w:bottom w:w="100" w:type="dxa"/>
              <w:end w:w="120" w:type="dxa"/>
            </w:tcMar>
          </w:tcPr>
          <w:p>
            <w:pPr>
              <w:jc w:val="center"/>
            </w:pPr>
            <w:r>
              <w:rPr>
                <w:sz w:val="18"/>
              </w:rPr>
              <w:t>0.335</w:t>
            </w:r>
          </w:p>
        </w:tc>
        <w:tc>
          <w:tcPr>
            <w:tcW w:type="dxa" w:w="1080"/>
            <w:vAlign w:val="center"/>
            <w:tcMar>
              <w:top w:w="100" w:type="dxa"/>
              <w:start w:w="120" w:type="dxa"/>
              <w:bottom w:w="100" w:type="dxa"/>
              <w:end w:w="120" w:type="dxa"/>
            </w:tcMar>
          </w:tcPr>
          <w:p>
            <w:pPr>
              <w:jc w:val="center"/>
            </w:pPr>
            <w:r>
              <w:rPr>
                <w:sz w:val="18"/>
              </w:rPr>
              <w:t>29.5%</w:t>
            </w:r>
          </w:p>
        </w:tc>
        <w:tc>
          <w:tcPr>
            <w:tcW w:type="dxa" w:w="936"/>
            <w:vAlign w:val="center"/>
            <w:tcMar>
              <w:top w:w="100" w:type="dxa"/>
              <w:start w:w="120" w:type="dxa"/>
              <w:bottom w:w="100" w:type="dxa"/>
              <w:end w:w="120" w:type="dxa"/>
            </w:tcMar>
          </w:tcPr>
          <w:p>
            <w:pPr>
              <w:jc w:val="center"/>
            </w:pPr>
            <w:r>
              <w:rPr>
                <w:sz w:val="18"/>
              </w:rPr>
              <w:t>65.7%</w:t>
            </w:r>
          </w:p>
        </w:tc>
        <w:tc>
          <w:tcPr>
            <w:tcW w:type="dxa" w:w="648"/>
            <w:vAlign w:val="center"/>
            <w:tcMar>
              <w:top w:w="100" w:type="dxa"/>
              <w:start w:w="120" w:type="dxa"/>
              <w:bottom w:w="100" w:type="dxa"/>
              <w:end w:w="120" w:type="dxa"/>
            </w:tcMar>
          </w:tcPr>
          <w:p>
            <w:pPr>
              <w:jc w:val="center"/>
            </w:pPr>
            <w:r>
              <w:rPr>
                <w:sz w:val="18"/>
              </w:rPr>
              <w:t>0.407</w:t>
            </w:r>
          </w:p>
        </w:tc>
        <w:tc>
          <w:tcPr>
            <w:tcW w:type="dxa" w:w="1325"/>
            <w:vAlign w:val="center"/>
            <w:tcMar>
              <w:top w:w="100" w:type="dxa"/>
              <w:start w:w="120" w:type="dxa"/>
              <w:bottom w:w="100" w:type="dxa"/>
              <w:end w:w="120" w:type="dxa"/>
            </w:tcMar>
          </w:tcPr>
          <w:p>
            <w:pPr>
              <w:jc w:val="center"/>
            </w:pPr>
            <w:r>
              <w:rPr>
                <w:sz w:val="18"/>
              </w:rPr>
              <w:t>0.683</w:t>
            </w:r>
          </w:p>
        </w:tc>
      </w:tr>
      <w:tr>
        <w:tc>
          <w:tcPr>
            <w:tcW w:type="dxa" w:w="2304"/>
            <w:vAlign w:val="center"/>
            <w:tcMar>
              <w:top w:w="100" w:type="dxa"/>
              <w:start w:w="120" w:type="dxa"/>
              <w:bottom w:w="100" w:type="dxa"/>
              <w:end w:w="120" w:type="dxa"/>
            </w:tcMar>
            <w:shd w:fill="F4F8FB"/>
          </w:tcPr>
          <w:p>
            <w:pPr>
              <w:jc w:val="left"/>
            </w:pPr>
            <w:r>
              <w:rPr>
                <w:sz w:val="18"/>
              </w:rPr>
              <w:t>主模型 默认阈值</w:t>
            </w:r>
          </w:p>
        </w:tc>
        <w:tc>
          <w:tcPr>
            <w:tcW w:type="dxa" w:w="936"/>
            <w:vAlign w:val="center"/>
            <w:tcMar>
              <w:top w:w="100" w:type="dxa"/>
              <w:start w:w="120" w:type="dxa"/>
              <w:bottom w:w="100" w:type="dxa"/>
              <w:end w:w="120" w:type="dxa"/>
            </w:tcMar>
            <w:shd w:fill="F4F8FB"/>
          </w:tcPr>
          <w:p>
            <w:pPr>
              <w:jc w:val="center"/>
            </w:pPr>
            <w:r>
              <w:rPr>
                <w:sz w:val="18"/>
              </w:rPr>
              <w:t>0.50</w:t>
            </w:r>
          </w:p>
        </w:tc>
        <w:tc>
          <w:tcPr>
            <w:tcW w:type="dxa" w:w="893"/>
            <w:vAlign w:val="center"/>
            <w:tcMar>
              <w:top w:w="100" w:type="dxa"/>
              <w:start w:w="120" w:type="dxa"/>
              <w:bottom w:w="100" w:type="dxa"/>
              <w:end w:w="120" w:type="dxa"/>
            </w:tcMar>
            <w:shd w:fill="F4F8FB"/>
          </w:tcPr>
          <w:p>
            <w:pPr>
              <w:jc w:val="center"/>
            </w:pPr>
            <w:r>
              <w:rPr>
                <w:sz w:val="18"/>
              </w:rPr>
              <w:t>0.757</w:t>
            </w:r>
          </w:p>
        </w:tc>
        <w:tc>
          <w:tcPr>
            <w:tcW w:type="dxa" w:w="893"/>
            <w:vAlign w:val="center"/>
            <w:tcMar>
              <w:top w:w="100" w:type="dxa"/>
              <w:start w:w="120" w:type="dxa"/>
              <w:bottom w:w="100" w:type="dxa"/>
              <w:end w:w="120" w:type="dxa"/>
            </w:tcMar>
            <w:shd w:fill="F4F8FB"/>
          </w:tcPr>
          <w:p>
            <w:pPr>
              <w:jc w:val="center"/>
            </w:pPr>
            <w:r>
              <w:rPr>
                <w:sz w:val="18"/>
              </w:rPr>
              <w:t>0.335</w:t>
            </w:r>
          </w:p>
        </w:tc>
        <w:tc>
          <w:tcPr>
            <w:tcW w:type="dxa" w:w="1080"/>
            <w:vAlign w:val="center"/>
            <w:tcMar>
              <w:top w:w="100" w:type="dxa"/>
              <w:start w:w="120" w:type="dxa"/>
              <w:bottom w:w="100" w:type="dxa"/>
              <w:end w:w="120" w:type="dxa"/>
            </w:tcMar>
            <w:shd w:fill="F4F8FB"/>
          </w:tcPr>
          <w:p>
            <w:pPr>
              <w:jc w:val="center"/>
            </w:pPr>
            <w:r>
              <w:rPr>
                <w:sz w:val="18"/>
              </w:rPr>
              <w:t>27.4%</w:t>
            </w:r>
          </w:p>
        </w:tc>
        <w:tc>
          <w:tcPr>
            <w:tcW w:type="dxa" w:w="936"/>
            <w:vAlign w:val="center"/>
            <w:tcMar>
              <w:top w:w="100" w:type="dxa"/>
              <w:start w:w="120" w:type="dxa"/>
              <w:bottom w:w="100" w:type="dxa"/>
              <w:end w:w="120" w:type="dxa"/>
            </w:tcMar>
            <w:shd w:fill="F4F8FB"/>
          </w:tcPr>
          <w:p>
            <w:pPr>
              <w:jc w:val="center"/>
            </w:pPr>
            <w:r>
              <w:rPr>
                <w:sz w:val="18"/>
              </w:rPr>
              <w:t>75.7%</w:t>
            </w:r>
          </w:p>
        </w:tc>
        <w:tc>
          <w:tcPr>
            <w:tcW w:type="dxa" w:w="648"/>
            <w:vAlign w:val="center"/>
            <w:tcMar>
              <w:top w:w="100" w:type="dxa"/>
              <w:start w:w="120" w:type="dxa"/>
              <w:bottom w:w="100" w:type="dxa"/>
              <w:end w:w="120" w:type="dxa"/>
            </w:tcMar>
            <w:shd w:fill="F4F8FB"/>
          </w:tcPr>
          <w:p>
            <w:pPr>
              <w:jc w:val="center"/>
            </w:pPr>
            <w:r>
              <w:rPr>
                <w:sz w:val="18"/>
              </w:rPr>
              <w:t>0.402</w:t>
            </w:r>
          </w:p>
        </w:tc>
        <w:tc>
          <w:tcPr>
            <w:tcW w:type="dxa" w:w="1325"/>
            <w:vAlign w:val="center"/>
            <w:tcMar>
              <w:top w:w="100" w:type="dxa"/>
              <w:start w:w="120" w:type="dxa"/>
              <w:bottom w:w="100" w:type="dxa"/>
              <w:end w:w="120" w:type="dxa"/>
            </w:tcMar>
            <w:shd w:fill="F4F8FB"/>
          </w:tcPr>
          <w:p>
            <w:pPr>
              <w:jc w:val="center"/>
            </w:pPr>
            <w:r>
              <w:rPr>
                <w:sz w:val="18"/>
              </w:rPr>
              <w:t>0.692</w:t>
            </w:r>
          </w:p>
        </w:tc>
      </w:tr>
      <w:tr>
        <w:tc>
          <w:tcPr>
            <w:tcW w:type="dxa" w:w="2304"/>
            <w:vAlign w:val="center"/>
            <w:tcMar>
              <w:top w:w="100" w:type="dxa"/>
              <w:start w:w="120" w:type="dxa"/>
              <w:bottom w:w="100" w:type="dxa"/>
              <w:end w:w="120" w:type="dxa"/>
            </w:tcMar>
          </w:tcPr>
          <w:p>
            <w:pPr>
              <w:jc w:val="left"/>
            </w:pPr>
            <w:r>
              <w:rPr>
                <w:sz w:val="18"/>
              </w:rPr>
              <w:t>敏感性 含 PageValues</w:t>
            </w:r>
          </w:p>
        </w:tc>
        <w:tc>
          <w:tcPr>
            <w:tcW w:type="dxa" w:w="936"/>
            <w:vAlign w:val="center"/>
            <w:tcMar>
              <w:top w:w="100" w:type="dxa"/>
              <w:start w:w="120" w:type="dxa"/>
              <w:bottom w:w="100" w:type="dxa"/>
              <w:end w:w="120" w:type="dxa"/>
            </w:tcMar>
          </w:tcPr>
          <w:p>
            <w:pPr>
              <w:jc w:val="center"/>
            </w:pPr>
            <w:r>
              <w:rPr>
                <w:sz w:val="18"/>
              </w:rPr>
              <w:t>0.636</w:t>
            </w:r>
          </w:p>
        </w:tc>
        <w:tc>
          <w:tcPr>
            <w:tcW w:type="dxa" w:w="893"/>
            <w:vAlign w:val="center"/>
            <w:tcMar>
              <w:top w:w="100" w:type="dxa"/>
              <w:start w:w="120" w:type="dxa"/>
              <w:bottom w:w="100" w:type="dxa"/>
              <w:end w:w="120" w:type="dxa"/>
            </w:tcMar>
          </w:tcPr>
          <w:p>
            <w:pPr>
              <w:jc w:val="center"/>
            </w:pPr>
            <w:r>
              <w:rPr>
                <w:sz w:val="18"/>
              </w:rPr>
              <w:t>0.900</w:t>
            </w:r>
          </w:p>
        </w:tc>
        <w:tc>
          <w:tcPr>
            <w:tcW w:type="dxa" w:w="893"/>
            <w:vAlign w:val="center"/>
            <w:tcMar>
              <w:top w:w="100" w:type="dxa"/>
              <w:start w:w="120" w:type="dxa"/>
              <w:bottom w:w="100" w:type="dxa"/>
              <w:end w:w="120" w:type="dxa"/>
            </w:tcMar>
          </w:tcPr>
          <w:p>
            <w:pPr>
              <w:jc w:val="center"/>
            </w:pPr>
            <w:r>
              <w:rPr>
                <w:sz w:val="18"/>
              </w:rPr>
              <w:t>0.622</w:t>
            </w:r>
          </w:p>
        </w:tc>
        <w:tc>
          <w:tcPr>
            <w:tcW w:type="dxa" w:w="1080"/>
            <w:vAlign w:val="center"/>
            <w:tcMar>
              <w:top w:w="100" w:type="dxa"/>
              <w:start w:w="120" w:type="dxa"/>
              <w:bottom w:w="100" w:type="dxa"/>
              <w:end w:w="120" w:type="dxa"/>
            </w:tcMar>
          </w:tcPr>
          <w:p>
            <w:pPr>
              <w:jc w:val="center"/>
            </w:pPr>
            <w:r>
              <w:rPr>
                <w:sz w:val="18"/>
              </w:rPr>
              <w:t>61.0%</w:t>
            </w:r>
          </w:p>
        </w:tc>
        <w:tc>
          <w:tcPr>
            <w:tcW w:type="dxa" w:w="936"/>
            <w:vAlign w:val="center"/>
            <w:tcMar>
              <w:top w:w="100" w:type="dxa"/>
              <w:start w:w="120" w:type="dxa"/>
              <w:bottom w:w="100" w:type="dxa"/>
              <w:end w:w="120" w:type="dxa"/>
            </w:tcMar>
          </w:tcPr>
          <w:p>
            <w:pPr>
              <w:jc w:val="center"/>
            </w:pPr>
            <w:r>
              <w:rPr>
                <w:sz w:val="18"/>
              </w:rPr>
              <w:t>68.3%</w:t>
            </w:r>
          </w:p>
        </w:tc>
        <w:tc>
          <w:tcPr>
            <w:tcW w:type="dxa" w:w="648"/>
            <w:vAlign w:val="center"/>
            <w:tcMar>
              <w:top w:w="100" w:type="dxa"/>
              <w:start w:w="120" w:type="dxa"/>
              <w:bottom w:w="100" w:type="dxa"/>
              <w:end w:w="120" w:type="dxa"/>
            </w:tcMar>
          </w:tcPr>
          <w:p>
            <w:pPr>
              <w:jc w:val="center"/>
            </w:pPr>
            <w:r>
              <w:rPr>
                <w:sz w:val="18"/>
              </w:rPr>
              <w:t>0.644</w:t>
            </w:r>
          </w:p>
        </w:tc>
        <w:tc>
          <w:tcPr>
            <w:tcW w:type="dxa" w:w="1325"/>
            <w:vAlign w:val="center"/>
            <w:tcMar>
              <w:top w:w="100" w:type="dxa"/>
              <w:start w:w="120" w:type="dxa"/>
              <w:bottom w:w="100" w:type="dxa"/>
              <w:end w:w="120" w:type="dxa"/>
            </w:tcMar>
          </w:tcPr>
          <w:p>
            <w:pPr>
              <w:jc w:val="center"/>
            </w:pPr>
            <w:r>
              <w:rPr>
                <w:sz w:val="18"/>
              </w:rPr>
              <w:t>0.801</w:t>
            </w:r>
          </w:p>
        </w:tc>
      </w:tr>
      <w:tr>
        <w:tc>
          <w:tcPr>
            <w:tcW w:type="dxa" w:w="2304"/>
            <w:vAlign w:val="center"/>
            <w:tcMar>
              <w:top w:w="100" w:type="dxa"/>
              <w:start w:w="120" w:type="dxa"/>
              <w:bottom w:w="100" w:type="dxa"/>
              <w:end w:w="120" w:type="dxa"/>
            </w:tcMar>
            <w:shd w:fill="F4F8FB"/>
          </w:tcPr>
          <w:p>
            <w:pPr>
              <w:jc w:val="left"/>
            </w:pPr>
            <w:r>
              <w:rPr>
                <w:sz w:val="18"/>
              </w:rPr>
              <w:t>敏感性 原始数值</w:t>
            </w:r>
          </w:p>
        </w:tc>
        <w:tc>
          <w:tcPr>
            <w:tcW w:type="dxa" w:w="936"/>
            <w:vAlign w:val="center"/>
            <w:tcMar>
              <w:top w:w="100" w:type="dxa"/>
              <w:start w:w="120" w:type="dxa"/>
              <w:bottom w:w="100" w:type="dxa"/>
              <w:end w:w="120" w:type="dxa"/>
            </w:tcMar>
            <w:shd w:fill="F4F8FB"/>
          </w:tcPr>
          <w:p>
            <w:pPr>
              <w:jc w:val="center"/>
            </w:pPr>
            <w:r>
              <w:rPr>
                <w:sz w:val="18"/>
              </w:rPr>
              <w:t>0.581</w:t>
            </w:r>
          </w:p>
        </w:tc>
        <w:tc>
          <w:tcPr>
            <w:tcW w:type="dxa" w:w="893"/>
            <w:vAlign w:val="center"/>
            <w:tcMar>
              <w:top w:w="100" w:type="dxa"/>
              <w:start w:w="120" w:type="dxa"/>
              <w:bottom w:w="100" w:type="dxa"/>
              <w:end w:w="120" w:type="dxa"/>
            </w:tcMar>
            <w:shd w:fill="F4F8FB"/>
          </w:tcPr>
          <w:p>
            <w:pPr>
              <w:jc w:val="center"/>
            </w:pPr>
            <w:r>
              <w:rPr>
                <w:sz w:val="18"/>
              </w:rPr>
              <w:t>0.752</w:t>
            </w:r>
          </w:p>
        </w:tc>
        <w:tc>
          <w:tcPr>
            <w:tcW w:type="dxa" w:w="893"/>
            <w:vAlign w:val="center"/>
            <w:tcMar>
              <w:top w:w="100" w:type="dxa"/>
              <w:start w:w="120" w:type="dxa"/>
              <w:bottom w:w="100" w:type="dxa"/>
              <w:end w:w="120" w:type="dxa"/>
            </w:tcMar>
            <w:shd w:fill="F4F8FB"/>
          </w:tcPr>
          <w:p>
            <w:pPr>
              <w:jc w:val="center"/>
            </w:pPr>
            <w:r>
              <w:rPr>
                <w:sz w:val="18"/>
              </w:rPr>
              <w:t>0.327</w:t>
            </w:r>
          </w:p>
        </w:tc>
        <w:tc>
          <w:tcPr>
            <w:tcW w:type="dxa" w:w="1080"/>
            <w:vAlign w:val="center"/>
            <w:tcMar>
              <w:top w:w="100" w:type="dxa"/>
              <w:start w:w="120" w:type="dxa"/>
              <w:bottom w:w="100" w:type="dxa"/>
              <w:end w:w="120" w:type="dxa"/>
            </w:tcMar>
            <w:shd w:fill="F4F8FB"/>
          </w:tcPr>
          <w:p>
            <w:pPr>
              <w:jc w:val="center"/>
            </w:pPr>
            <w:r>
              <w:rPr>
                <w:sz w:val="18"/>
              </w:rPr>
              <w:t>29.8%</w:t>
            </w:r>
          </w:p>
        </w:tc>
        <w:tc>
          <w:tcPr>
            <w:tcW w:type="dxa" w:w="936"/>
            <w:vAlign w:val="center"/>
            <w:tcMar>
              <w:top w:w="100" w:type="dxa"/>
              <w:start w:w="120" w:type="dxa"/>
              <w:bottom w:w="100" w:type="dxa"/>
              <w:end w:w="120" w:type="dxa"/>
            </w:tcMar>
            <w:shd w:fill="F4F8FB"/>
          </w:tcPr>
          <w:p>
            <w:pPr>
              <w:jc w:val="center"/>
            </w:pPr>
            <w:r>
              <w:rPr>
                <w:sz w:val="18"/>
              </w:rPr>
              <w:t>56.5%</w:t>
            </w:r>
          </w:p>
        </w:tc>
        <w:tc>
          <w:tcPr>
            <w:tcW w:type="dxa" w:w="648"/>
            <w:vAlign w:val="center"/>
            <w:tcMar>
              <w:top w:w="100" w:type="dxa"/>
              <w:start w:w="120" w:type="dxa"/>
              <w:bottom w:w="100" w:type="dxa"/>
              <w:end w:w="120" w:type="dxa"/>
            </w:tcMar>
            <w:shd w:fill="F4F8FB"/>
          </w:tcPr>
          <w:p>
            <w:pPr>
              <w:jc w:val="center"/>
            </w:pPr>
            <w:r>
              <w:rPr>
                <w:sz w:val="18"/>
              </w:rPr>
              <w:t>0.391</w:t>
            </w:r>
          </w:p>
        </w:tc>
        <w:tc>
          <w:tcPr>
            <w:tcW w:type="dxa" w:w="1325"/>
            <w:vAlign w:val="center"/>
            <w:tcMar>
              <w:top w:w="100" w:type="dxa"/>
              <w:start w:w="120" w:type="dxa"/>
              <w:bottom w:w="100" w:type="dxa"/>
              <w:end w:w="120" w:type="dxa"/>
            </w:tcMar>
            <w:shd w:fill="F4F8FB"/>
          </w:tcPr>
          <w:p>
            <w:pPr>
              <w:jc w:val="center"/>
            </w:pPr>
            <w:r>
              <w:rPr>
                <w:sz w:val="18"/>
              </w:rPr>
              <w:t>0.659</w:t>
            </w:r>
          </w:p>
        </w:tc>
      </w:tr>
    </w:tbl>
    <w:p>
      <w:pPr>
        <w:spacing w:after="40"/>
      </w:pPr>
    </w:p>
    <w:p>
      <w:r>
        <w:t>推荐主模型在该阈值下得到 251 个真正例与 131 个假负例，同时产生 599 个假正例与 1460 个真负例。默认 0.50 阈值能捕捉到更多购买会话，但会产生更多假正例。实际部署时应根据一次无效干预的成本与漏掉一名潜在购买者的成本选择阈值。</w:t>
      </w:r>
    </w:p>
    <w:p>
      <w:pPr>
        <w:spacing w:before="60" w:after="20"/>
        <w:jc w:val="center"/>
      </w:pPr>
      <w:r>
        <w:drawing>
          <wp:inline xmlns:a="http://schemas.openxmlformats.org/drawingml/2006/main" xmlns:pic="http://schemas.openxmlformats.org/drawingml/2006/picture">
            <wp:extent cx="5623560" cy="2487805"/>
            <wp:docPr id="4" name="Picture 4"/>
            <wp:cNvGraphicFramePr>
              <a:graphicFrameLocks noChangeAspect="1"/>
            </wp:cNvGraphicFramePr>
            <a:graphic>
              <a:graphicData uri="http://schemas.openxmlformats.org/drawingml/2006/picture">
                <pic:pic>
                  <pic:nvPicPr>
                    <pic:cNvPr id="0" name="test_roc_pr_curves.png"/>
                    <pic:cNvPicPr/>
                  </pic:nvPicPr>
                  <pic:blipFill>
                    <a:blip r:embed="rId13"/>
                    <a:stretch>
                      <a:fillRect/>
                    </a:stretch>
                  </pic:blipFill>
                  <pic:spPr>
                    <a:xfrm>
                      <a:off x="0" y="0"/>
                      <a:ext cx="5623560" cy="2487805"/>
                    </a:xfrm>
                    <a:prstGeom prst="rect"/>
                  </pic:spPr>
                </pic:pic>
              </a:graphicData>
            </a:graphic>
          </wp:inline>
        </w:drawing>
      </w:r>
    </w:p>
    <w:p>
      <w:pPr>
        <w:spacing w:before="20" w:after="180"/>
        <w:jc w:val="center"/>
      </w:pPr>
      <w:r>
        <w:rPr>
          <w:i/>
          <w:sz w:val="18"/>
        </w:rPr>
        <w:t>图4 PageValues 敏感性分析的独立测试集 ROC 曲线与精确率召回率曲线</w:t>
      </w:r>
    </w:p>
    <w:p>
      <w:pPr>
        <w:spacing w:before="60" w:after="20"/>
        <w:jc w:val="center"/>
      </w:pPr>
      <w:r>
        <w:drawing>
          <wp:inline xmlns:a="http://schemas.openxmlformats.org/drawingml/2006/main" xmlns:pic="http://schemas.openxmlformats.org/drawingml/2006/picture">
            <wp:extent cx="4114800" cy="3429597"/>
            <wp:docPr id="5" name="Picture 5"/>
            <wp:cNvGraphicFramePr>
              <a:graphicFrameLocks noChangeAspect="1"/>
            </wp:cNvGraphicFramePr>
            <a:graphic>
              <a:graphicData uri="http://schemas.openxmlformats.org/drawingml/2006/picture">
                <pic:pic>
                  <pic:nvPicPr>
                    <pic:cNvPr id="0" name="test_confusion_matrix_main.png"/>
                    <pic:cNvPicPr/>
                  </pic:nvPicPr>
                  <pic:blipFill>
                    <a:blip r:embed="rId14"/>
                    <a:stretch>
                      <a:fillRect/>
                    </a:stretch>
                  </pic:blipFill>
                  <pic:spPr>
                    <a:xfrm>
                      <a:off x="0" y="0"/>
                      <a:ext cx="4114800" cy="3429597"/>
                    </a:xfrm>
                    <a:prstGeom prst="rect"/>
                  </pic:spPr>
                </pic:pic>
              </a:graphicData>
            </a:graphic>
          </wp:inline>
        </w:drawing>
      </w:r>
    </w:p>
    <w:p>
      <w:pPr>
        <w:spacing w:before="20" w:after="180"/>
        <w:jc w:val="center"/>
      </w:pPr>
      <w:r>
        <w:rPr>
          <w:i/>
          <w:sz w:val="18"/>
        </w:rPr>
        <w:t>图5 主逻辑回归模型在训练集确定阈值下的独立测试集混淆矩阵</w:t>
      </w:r>
    </w:p>
    <w:p>
      <w:pPr>
        <w:pStyle w:val="Heading1"/>
      </w:pPr>
      <w:r>
        <w:t>6 主模型解释</w:t>
      </w:r>
    </w:p>
    <w:p>
      <w:r>
        <w:t>对连续变量而言，一个系数单位代表经过规定转换及标准化后的一次标准差变化。对分类变量而言，系数表示相应类别相对独热编码中被省略参考类别的差异。下表中的优势比仅是正则化预测模型中的条件关联，不能作因果解释。</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50"/>
        <w:gridCol w:w="2450"/>
        <w:gridCol w:w="2450"/>
        <w:gridCol w:w="2450"/>
      </w:tblGrid>
      <w:tr>
        <w:trPr>
          <w:tblHeader w:val="true"/>
        </w:trPr>
        <w:tc>
          <w:tcPr>
            <w:tcW w:type="dxa" w:w="3096"/>
            <w:vAlign w:val="center"/>
            <w:shd w:fill="1F4E78"/>
            <w:tcMar>
              <w:top w:w="100" w:type="dxa"/>
              <w:start w:w="120" w:type="dxa"/>
              <w:bottom w:w="100" w:type="dxa"/>
              <w:end w:w="120" w:type="dxa"/>
            </w:tcMar>
          </w:tcPr>
          <w:p>
            <w:pPr>
              <w:jc w:val="center"/>
            </w:pPr>
            <w:r>
              <w:rPr>
                <w:b/>
                <w:color w:val="FFFFFF"/>
                <w:sz w:val="18"/>
              </w:rPr>
              <w:t>变量</w:t>
            </w:r>
          </w:p>
        </w:tc>
        <w:tc>
          <w:tcPr>
            <w:tcW w:type="dxa" w:w="1152"/>
            <w:vAlign w:val="center"/>
            <w:shd w:fill="1F4E78"/>
            <w:tcMar>
              <w:top w:w="100" w:type="dxa"/>
              <w:start w:w="120" w:type="dxa"/>
              <w:bottom w:w="100" w:type="dxa"/>
              <w:end w:w="120" w:type="dxa"/>
            </w:tcMar>
          </w:tcPr>
          <w:p>
            <w:pPr>
              <w:jc w:val="center"/>
            </w:pPr>
            <w:r>
              <w:rPr>
                <w:b/>
                <w:color w:val="FFFFFF"/>
                <w:sz w:val="18"/>
              </w:rPr>
              <w:t>系数</w:t>
            </w:r>
          </w:p>
        </w:tc>
        <w:tc>
          <w:tcPr>
            <w:tcW w:type="dxa" w:w="1224"/>
            <w:vAlign w:val="center"/>
            <w:shd w:fill="1F4E78"/>
            <w:tcMar>
              <w:top w:w="100" w:type="dxa"/>
              <w:start w:w="120" w:type="dxa"/>
              <w:bottom w:w="100" w:type="dxa"/>
              <w:end w:w="120" w:type="dxa"/>
            </w:tcMar>
          </w:tcPr>
          <w:p>
            <w:pPr>
              <w:jc w:val="center"/>
            </w:pPr>
            <w:r>
              <w:rPr>
                <w:b/>
                <w:color w:val="FFFFFF"/>
                <w:sz w:val="18"/>
              </w:rPr>
              <w:t>优势比</w:t>
            </w:r>
          </w:p>
        </w:tc>
        <w:tc>
          <w:tcPr>
            <w:tcW w:type="dxa" w:w="3456"/>
            <w:vAlign w:val="center"/>
            <w:shd w:fill="1F4E78"/>
            <w:tcMar>
              <w:top w:w="100" w:type="dxa"/>
              <w:start w:w="120" w:type="dxa"/>
              <w:bottom w:w="100" w:type="dxa"/>
              <w:end w:w="120" w:type="dxa"/>
            </w:tcMar>
          </w:tcPr>
          <w:p>
            <w:pPr>
              <w:jc w:val="center"/>
            </w:pPr>
            <w:r>
              <w:rPr>
                <w:b/>
                <w:color w:val="FFFFFF"/>
                <w:sz w:val="18"/>
              </w:rPr>
              <w:t>条件方向</w:t>
            </w:r>
          </w:p>
        </w:tc>
      </w:tr>
      <w:tr>
        <w:tc>
          <w:tcPr>
            <w:tcW w:type="dxa" w:w="3096"/>
            <w:vAlign w:val="center"/>
            <w:tcMar>
              <w:top w:w="100" w:type="dxa"/>
              <w:start w:w="120" w:type="dxa"/>
              <w:bottom w:w="100" w:type="dxa"/>
              <w:end w:w="120" w:type="dxa"/>
            </w:tcMar>
          </w:tcPr>
          <w:p>
            <w:pPr>
              <w:jc w:val="left"/>
            </w:pPr>
            <w:r>
              <w:rPr>
                <w:sz w:val="18"/>
              </w:rPr>
              <w:t>Month_Nov</w:t>
            </w:r>
          </w:p>
        </w:tc>
        <w:tc>
          <w:tcPr>
            <w:tcW w:type="dxa" w:w="1152"/>
            <w:vAlign w:val="center"/>
            <w:tcMar>
              <w:top w:w="100" w:type="dxa"/>
              <w:start w:w="120" w:type="dxa"/>
              <w:bottom w:w="100" w:type="dxa"/>
              <w:end w:w="120" w:type="dxa"/>
            </w:tcMar>
          </w:tcPr>
          <w:p>
            <w:pPr>
              <w:jc w:val="center"/>
            </w:pPr>
            <w:r>
              <w:rPr>
                <w:sz w:val="18"/>
              </w:rPr>
              <w:t>0.463</w:t>
            </w:r>
          </w:p>
        </w:tc>
        <w:tc>
          <w:tcPr>
            <w:tcW w:type="dxa" w:w="1224"/>
            <w:vAlign w:val="center"/>
            <w:tcMar>
              <w:top w:w="100" w:type="dxa"/>
              <w:start w:w="120" w:type="dxa"/>
              <w:bottom w:w="100" w:type="dxa"/>
              <w:end w:w="120" w:type="dxa"/>
            </w:tcMar>
          </w:tcPr>
          <w:p>
            <w:pPr>
              <w:jc w:val="center"/>
            </w:pPr>
            <w:r>
              <w:rPr>
                <w:sz w:val="18"/>
              </w:rPr>
              <w:t>1.589</w:t>
            </w:r>
          </w:p>
        </w:tc>
        <w:tc>
          <w:tcPr>
            <w:tcW w:type="dxa" w:w="3456"/>
            <w:vAlign w:val="center"/>
            <w:tcMar>
              <w:top w:w="100" w:type="dxa"/>
              <w:start w:w="120" w:type="dxa"/>
              <w:bottom w:w="100" w:type="dxa"/>
              <w:end w:w="120" w:type="dxa"/>
            </w:tcMar>
          </w:tcPr>
          <w:p>
            <w:pPr>
              <w:jc w:val="center"/>
            </w:pPr>
            <w:r>
              <w:rPr>
                <w:sz w:val="18"/>
              </w:rPr>
              <w:t>预测购买优势更高</w:t>
            </w:r>
          </w:p>
        </w:tc>
      </w:tr>
      <w:tr>
        <w:tc>
          <w:tcPr>
            <w:tcW w:type="dxa" w:w="3096"/>
            <w:vAlign w:val="center"/>
            <w:tcMar>
              <w:top w:w="100" w:type="dxa"/>
              <w:start w:w="120" w:type="dxa"/>
              <w:bottom w:w="100" w:type="dxa"/>
              <w:end w:w="120" w:type="dxa"/>
            </w:tcMar>
            <w:shd w:fill="F4F8FB"/>
          </w:tcPr>
          <w:p>
            <w:pPr>
              <w:jc w:val="left"/>
            </w:pPr>
            <w:r>
              <w:rPr>
                <w:sz w:val="18"/>
              </w:rPr>
              <w:t>ProductRelated_Duration</w:t>
            </w:r>
          </w:p>
        </w:tc>
        <w:tc>
          <w:tcPr>
            <w:tcW w:type="dxa" w:w="1152"/>
            <w:vAlign w:val="center"/>
            <w:tcMar>
              <w:top w:w="100" w:type="dxa"/>
              <w:start w:w="120" w:type="dxa"/>
              <w:bottom w:w="100" w:type="dxa"/>
              <w:end w:w="120" w:type="dxa"/>
            </w:tcMar>
            <w:shd w:fill="F4F8FB"/>
          </w:tcPr>
          <w:p>
            <w:pPr>
              <w:jc w:val="center"/>
            </w:pPr>
            <w:r>
              <w:rPr>
                <w:sz w:val="18"/>
              </w:rPr>
              <w:t>0.376</w:t>
            </w:r>
          </w:p>
        </w:tc>
        <w:tc>
          <w:tcPr>
            <w:tcW w:type="dxa" w:w="1224"/>
            <w:vAlign w:val="center"/>
            <w:tcMar>
              <w:top w:w="100" w:type="dxa"/>
              <w:start w:w="120" w:type="dxa"/>
              <w:bottom w:w="100" w:type="dxa"/>
              <w:end w:w="120" w:type="dxa"/>
            </w:tcMar>
            <w:shd w:fill="F4F8FB"/>
          </w:tcPr>
          <w:p>
            <w:pPr>
              <w:jc w:val="center"/>
            </w:pPr>
            <w:r>
              <w:rPr>
                <w:sz w:val="18"/>
              </w:rPr>
              <w:t>1.457</w:t>
            </w:r>
          </w:p>
        </w:tc>
        <w:tc>
          <w:tcPr>
            <w:tcW w:type="dxa" w:w="3456"/>
            <w:vAlign w:val="center"/>
            <w:tcMar>
              <w:top w:w="100" w:type="dxa"/>
              <w:start w:w="120" w:type="dxa"/>
              <w:bottom w:w="100" w:type="dxa"/>
              <w:end w:w="120" w:type="dxa"/>
            </w:tcMar>
            <w:shd w:fill="F4F8FB"/>
          </w:tcPr>
          <w:p>
            <w:pPr>
              <w:jc w:val="center"/>
            </w:pPr>
            <w:r>
              <w:rPr>
                <w:sz w:val="18"/>
              </w:rPr>
              <w:t>预测购买优势更高</w:t>
            </w:r>
          </w:p>
        </w:tc>
      </w:tr>
      <w:tr>
        <w:tc>
          <w:tcPr>
            <w:tcW w:type="dxa" w:w="3096"/>
            <w:vAlign w:val="center"/>
            <w:tcMar>
              <w:top w:w="100" w:type="dxa"/>
              <w:start w:w="120" w:type="dxa"/>
              <w:bottom w:w="100" w:type="dxa"/>
              <w:end w:w="120" w:type="dxa"/>
            </w:tcMar>
          </w:tcPr>
          <w:p>
            <w:pPr>
              <w:jc w:val="left"/>
            </w:pPr>
            <w:r>
              <w:rPr>
                <w:sz w:val="18"/>
              </w:rPr>
              <w:t>Month_Oct</w:t>
            </w:r>
          </w:p>
        </w:tc>
        <w:tc>
          <w:tcPr>
            <w:tcW w:type="dxa" w:w="1152"/>
            <w:vAlign w:val="center"/>
            <w:tcMar>
              <w:top w:w="100" w:type="dxa"/>
              <w:start w:w="120" w:type="dxa"/>
              <w:bottom w:w="100" w:type="dxa"/>
              <w:end w:w="120" w:type="dxa"/>
            </w:tcMar>
          </w:tcPr>
          <w:p>
            <w:pPr>
              <w:jc w:val="center"/>
            </w:pPr>
            <w:r>
              <w:rPr>
                <w:sz w:val="18"/>
              </w:rPr>
              <w:t>0.190</w:t>
            </w:r>
          </w:p>
        </w:tc>
        <w:tc>
          <w:tcPr>
            <w:tcW w:type="dxa" w:w="1224"/>
            <w:vAlign w:val="center"/>
            <w:tcMar>
              <w:top w:w="100" w:type="dxa"/>
              <w:start w:w="120" w:type="dxa"/>
              <w:bottom w:w="100" w:type="dxa"/>
              <w:end w:w="120" w:type="dxa"/>
            </w:tcMar>
          </w:tcPr>
          <w:p>
            <w:pPr>
              <w:jc w:val="center"/>
            </w:pPr>
            <w:r>
              <w:rPr>
                <w:sz w:val="18"/>
              </w:rPr>
              <w:t>1.209</w:t>
            </w:r>
          </w:p>
        </w:tc>
        <w:tc>
          <w:tcPr>
            <w:tcW w:type="dxa" w:w="3456"/>
            <w:vAlign w:val="center"/>
            <w:tcMar>
              <w:top w:w="100" w:type="dxa"/>
              <w:start w:w="120" w:type="dxa"/>
              <w:bottom w:w="100" w:type="dxa"/>
              <w:end w:w="120" w:type="dxa"/>
            </w:tcMar>
          </w:tcPr>
          <w:p>
            <w:pPr>
              <w:jc w:val="center"/>
            </w:pPr>
            <w:r>
              <w:rPr>
                <w:sz w:val="18"/>
              </w:rPr>
              <w:t>预测购买优势更高</w:t>
            </w:r>
          </w:p>
        </w:tc>
      </w:tr>
      <w:tr>
        <w:tc>
          <w:tcPr>
            <w:tcW w:type="dxa" w:w="3096"/>
            <w:vAlign w:val="center"/>
            <w:tcMar>
              <w:top w:w="100" w:type="dxa"/>
              <w:start w:w="120" w:type="dxa"/>
              <w:bottom w:w="100" w:type="dxa"/>
              <w:end w:w="120" w:type="dxa"/>
            </w:tcMar>
            <w:shd w:fill="F4F8FB"/>
          </w:tcPr>
          <w:p>
            <w:pPr>
              <w:jc w:val="left"/>
            </w:pPr>
            <w:r>
              <w:rPr>
                <w:sz w:val="18"/>
              </w:rPr>
              <w:t>TrafficType_20</w:t>
            </w:r>
          </w:p>
        </w:tc>
        <w:tc>
          <w:tcPr>
            <w:tcW w:type="dxa" w:w="1152"/>
            <w:vAlign w:val="center"/>
            <w:tcMar>
              <w:top w:w="100" w:type="dxa"/>
              <w:start w:w="120" w:type="dxa"/>
              <w:bottom w:w="100" w:type="dxa"/>
              <w:end w:w="120" w:type="dxa"/>
            </w:tcMar>
            <w:shd w:fill="F4F8FB"/>
          </w:tcPr>
          <w:p>
            <w:pPr>
              <w:jc w:val="center"/>
            </w:pPr>
            <w:r>
              <w:rPr>
                <w:sz w:val="18"/>
              </w:rPr>
              <w:t>0.183</w:t>
            </w:r>
          </w:p>
        </w:tc>
        <w:tc>
          <w:tcPr>
            <w:tcW w:type="dxa" w:w="1224"/>
            <w:vAlign w:val="center"/>
            <w:tcMar>
              <w:top w:w="100" w:type="dxa"/>
              <w:start w:w="120" w:type="dxa"/>
              <w:bottom w:w="100" w:type="dxa"/>
              <w:end w:w="120" w:type="dxa"/>
            </w:tcMar>
            <w:shd w:fill="F4F8FB"/>
          </w:tcPr>
          <w:p>
            <w:pPr>
              <w:jc w:val="center"/>
            </w:pPr>
            <w:r>
              <w:rPr>
                <w:sz w:val="18"/>
              </w:rPr>
              <w:t>1.201</w:t>
            </w:r>
          </w:p>
        </w:tc>
        <w:tc>
          <w:tcPr>
            <w:tcW w:type="dxa" w:w="3456"/>
            <w:vAlign w:val="center"/>
            <w:tcMar>
              <w:top w:w="100" w:type="dxa"/>
              <w:start w:w="120" w:type="dxa"/>
              <w:bottom w:w="100" w:type="dxa"/>
              <w:end w:w="120" w:type="dxa"/>
            </w:tcMar>
            <w:shd w:fill="F4F8FB"/>
          </w:tcPr>
          <w:p>
            <w:pPr>
              <w:jc w:val="center"/>
            </w:pPr>
            <w:r>
              <w:rPr>
                <w:sz w:val="18"/>
              </w:rPr>
              <w:t>预测购买优势更高</w:t>
            </w:r>
          </w:p>
        </w:tc>
      </w:tr>
      <w:tr>
        <w:tc>
          <w:tcPr>
            <w:tcW w:type="dxa" w:w="3096"/>
            <w:vAlign w:val="center"/>
            <w:tcMar>
              <w:top w:w="100" w:type="dxa"/>
              <w:start w:w="120" w:type="dxa"/>
              <w:bottom w:w="100" w:type="dxa"/>
              <w:end w:w="120" w:type="dxa"/>
            </w:tcMar>
          </w:tcPr>
          <w:p>
            <w:pPr>
              <w:jc w:val="left"/>
            </w:pPr>
            <w:r>
              <w:rPr>
                <w:sz w:val="18"/>
              </w:rPr>
              <w:t>Administrative_Duration</w:t>
            </w:r>
          </w:p>
        </w:tc>
        <w:tc>
          <w:tcPr>
            <w:tcW w:type="dxa" w:w="1152"/>
            <w:vAlign w:val="center"/>
            <w:tcMar>
              <w:top w:w="100" w:type="dxa"/>
              <w:start w:w="120" w:type="dxa"/>
              <w:bottom w:w="100" w:type="dxa"/>
              <w:end w:w="120" w:type="dxa"/>
            </w:tcMar>
          </w:tcPr>
          <w:p>
            <w:pPr>
              <w:jc w:val="center"/>
            </w:pPr>
            <w:r>
              <w:rPr>
                <w:sz w:val="18"/>
              </w:rPr>
              <w:t>0.146</w:t>
            </w:r>
          </w:p>
        </w:tc>
        <w:tc>
          <w:tcPr>
            <w:tcW w:type="dxa" w:w="1224"/>
            <w:vAlign w:val="center"/>
            <w:tcMar>
              <w:top w:w="100" w:type="dxa"/>
              <w:start w:w="120" w:type="dxa"/>
              <w:bottom w:w="100" w:type="dxa"/>
              <w:end w:w="120" w:type="dxa"/>
            </w:tcMar>
          </w:tcPr>
          <w:p>
            <w:pPr>
              <w:jc w:val="center"/>
            </w:pPr>
            <w:r>
              <w:rPr>
                <w:sz w:val="18"/>
              </w:rPr>
              <w:t>1.157</w:t>
            </w:r>
          </w:p>
        </w:tc>
        <w:tc>
          <w:tcPr>
            <w:tcW w:type="dxa" w:w="3456"/>
            <w:vAlign w:val="center"/>
            <w:tcMar>
              <w:top w:w="100" w:type="dxa"/>
              <w:start w:w="120" w:type="dxa"/>
              <w:bottom w:w="100" w:type="dxa"/>
              <w:end w:w="120" w:type="dxa"/>
            </w:tcMar>
          </w:tcPr>
          <w:p>
            <w:pPr>
              <w:jc w:val="center"/>
            </w:pPr>
            <w:r>
              <w:rPr>
                <w:sz w:val="18"/>
              </w:rPr>
              <w:t>预测购买优势更高</w:t>
            </w:r>
          </w:p>
        </w:tc>
      </w:tr>
      <w:tr>
        <w:tc>
          <w:tcPr>
            <w:tcW w:type="dxa" w:w="3096"/>
            <w:vAlign w:val="center"/>
            <w:tcMar>
              <w:top w:w="100" w:type="dxa"/>
              <w:start w:w="120" w:type="dxa"/>
              <w:bottom w:w="100" w:type="dxa"/>
              <w:end w:w="120" w:type="dxa"/>
            </w:tcMar>
            <w:shd w:fill="F4F8FB"/>
          </w:tcPr>
          <w:p>
            <w:pPr>
              <w:jc w:val="left"/>
            </w:pPr>
            <w:r>
              <w:rPr>
                <w:sz w:val="18"/>
              </w:rPr>
              <w:t>TrafficType_8</w:t>
            </w:r>
          </w:p>
        </w:tc>
        <w:tc>
          <w:tcPr>
            <w:tcW w:type="dxa" w:w="1152"/>
            <w:vAlign w:val="center"/>
            <w:tcMar>
              <w:top w:w="100" w:type="dxa"/>
              <w:start w:w="120" w:type="dxa"/>
              <w:bottom w:w="100" w:type="dxa"/>
              <w:end w:w="120" w:type="dxa"/>
            </w:tcMar>
            <w:shd w:fill="F4F8FB"/>
          </w:tcPr>
          <w:p>
            <w:pPr>
              <w:jc w:val="center"/>
            </w:pPr>
            <w:r>
              <w:rPr>
                <w:sz w:val="18"/>
              </w:rPr>
              <w:t>0.131</w:t>
            </w:r>
          </w:p>
        </w:tc>
        <w:tc>
          <w:tcPr>
            <w:tcW w:type="dxa" w:w="1224"/>
            <w:vAlign w:val="center"/>
            <w:tcMar>
              <w:top w:w="100" w:type="dxa"/>
              <w:start w:w="120" w:type="dxa"/>
              <w:bottom w:w="100" w:type="dxa"/>
              <w:end w:w="120" w:type="dxa"/>
            </w:tcMar>
            <w:shd w:fill="F4F8FB"/>
          </w:tcPr>
          <w:p>
            <w:pPr>
              <w:jc w:val="center"/>
            </w:pPr>
            <w:r>
              <w:rPr>
                <w:sz w:val="18"/>
              </w:rPr>
              <w:t>1.140</w:t>
            </w:r>
          </w:p>
        </w:tc>
        <w:tc>
          <w:tcPr>
            <w:tcW w:type="dxa" w:w="3456"/>
            <w:vAlign w:val="center"/>
            <w:tcMar>
              <w:top w:w="100" w:type="dxa"/>
              <w:start w:w="120" w:type="dxa"/>
              <w:bottom w:w="100" w:type="dxa"/>
              <w:end w:w="120" w:type="dxa"/>
            </w:tcMar>
            <w:shd w:fill="F4F8FB"/>
          </w:tcPr>
          <w:p>
            <w:pPr>
              <w:jc w:val="center"/>
            </w:pPr>
            <w:r>
              <w:rPr>
                <w:sz w:val="18"/>
              </w:rPr>
              <w:t>预测购买优势更高</w:t>
            </w:r>
          </w:p>
        </w:tc>
      </w:tr>
      <w:tr>
        <w:tc>
          <w:tcPr>
            <w:tcW w:type="dxa" w:w="3096"/>
            <w:vAlign w:val="center"/>
            <w:tcMar>
              <w:top w:w="100" w:type="dxa"/>
              <w:start w:w="120" w:type="dxa"/>
              <w:bottom w:w="100" w:type="dxa"/>
              <w:end w:w="120" w:type="dxa"/>
            </w:tcMar>
          </w:tcPr>
          <w:p>
            <w:pPr>
              <w:jc w:val="left"/>
            </w:pPr>
            <w:r>
              <w:rPr>
                <w:sz w:val="18"/>
              </w:rPr>
              <w:t>ExitRates</w:t>
            </w:r>
          </w:p>
        </w:tc>
        <w:tc>
          <w:tcPr>
            <w:tcW w:type="dxa" w:w="1152"/>
            <w:vAlign w:val="center"/>
            <w:tcMar>
              <w:top w:w="100" w:type="dxa"/>
              <w:start w:w="120" w:type="dxa"/>
              <w:bottom w:w="100" w:type="dxa"/>
              <w:end w:w="120" w:type="dxa"/>
            </w:tcMar>
          </w:tcPr>
          <w:p>
            <w:pPr>
              <w:jc w:val="center"/>
            </w:pPr>
            <w:r>
              <w:rPr>
                <w:sz w:val="18"/>
              </w:rPr>
              <w:t>-0.774</w:t>
            </w:r>
          </w:p>
        </w:tc>
        <w:tc>
          <w:tcPr>
            <w:tcW w:type="dxa" w:w="1224"/>
            <w:vAlign w:val="center"/>
            <w:tcMar>
              <w:top w:w="100" w:type="dxa"/>
              <w:start w:w="120" w:type="dxa"/>
              <w:bottom w:w="100" w:type="dxa"/>
              <w:end w:w="120" w:type="dxa"/>
            </w:tcMar>
          </w:tcPr>
          <w:p>
            <w:pPr>
              <w:jc w:val="center"/>
            </w:pPr>
            <w:r>
              <w:rPr>
                <w:sz w:val="18"/>
              </w:rPr>
              <w:t>0.461</w:t>
            </w:r>
          </w:p>
        </w:tc>
        <w:tc>
          <w:tcPr>
            <w:tcW w:type="dxa" w:w="3456"/>
            <w:vAlign w:val="center"/>
            <w:tcMar>
              <w:top w:w="100" w:type="dxa"/>
              <w:start w:w="120" w:type="dxa"/>
              <w:bottom w:w="100" w:type="dxa"/>
              <w:end w:w="120" w:type="dxa"/>
            </w:tcMar>
          </w:tcPr>
          <w:p>
            <w:pPr>
              <w:jc w:val="center"/>
            </w:pPr>
            <w:r>
              <w:rPr>
                <w:sz w:val="18"/>
              </w:rPr>
              <w:t>预测购买优势更低</w:t>
            </w:r>
          </w:p>
        </w:tc>
      </w:tr>
      <w:tr>
        <w:tc>
          <w:tcPr>
            <w:tcW w:type="dxa" w:w="3096"/>
            <w:vAlign w:val="center"/>
            <w:tcMar>
              <w:top w:w="100" w:type="dxa"/>
              <w:start w:w="120" w:type="dxa"/>
              <w:bottom w:w="100" w:type="dxa"/>
              <w:end w:w="120" w:type="dxa"/>
            </w:tcMar>
            <w:shd w:fill="F4F8FB"/>
          </w:tcPr>
          <w:p>
            <w:pPr>
              <w:jc w:val="left"/>
            </w:pPr>
            <w:r>
              <w:rPr>
                <w:sz w:val="18"/>
              </w:rPr>
              <w:t>Month_Mar</w:t>
            </w:r>
          </w:p>
        </w:tc>
        <w:tc>
          <w:tcPr>
            <w:tcW w:type="dxa" w:w="1152"/>
            <w:vAlign w:val="center"/>
            <w:tcMar>
              <w:top w:w="100" w:type="dxa"/>
              <w:start w:w="120" w:type="dxa"/>
              <w:bottom w:w="100" w:type="dxa"/>
              <w:end w:w="120" w:type="dxa"/>
            </w:tcMar>
            <w:shd w:fill="F4F8FB"/>
          </w:tcPr>
          <w:p>
            <w:pPr>
              <w:jc w:val="center"/>
            </w:pPr>
            <w:r>
              <w:rPr>
                <w:sz w:val="18"/>
              </w:rPr>
              <w:t>-0.324</w:t>
            </w:r>
          </w:p>
        </w:tc>
        <w:tc>
          <w:tcPr>
            <w:tcW w:type="dxa" w:w="1224"/>
            <w:vAlign w:val="center"/>
            <w:tcMar>
              <w:top w:w="100" w:type="dxa"/>
              <w:start w:w="120" w:type="dxa"/>
              <w:bottom w:w="100" w:type="dxa"/>
              <w:end w:w="120" w:type="dxa"/>
            </w:tcMar>
            <w:shd w:fill="F4F8FB"/>
          </w:tcPr>
          <w:p>
            <w:pPr>
              <w:jc w:val="center"/>
            </w:pPr>
            <w:r>
              <w:rPr>
                <w:sz w:val="18"/>
              </w:rPr>
              <w:t>0.723</w:t>
            </w:r>
          </w:p>
        </w:tc>
        <w:tc>
          <w:tcPr>
            <w:tcW w:type="dxa" w:w="3456"/>
            <w:vAlign w:val="center"/>
            <w:tcMar>
              <w:top w:w="100" w:type="dxa"/>
              <w:start w:w="120" w:type="dxa"/>
              <w:bottom w:w="100" w:type="dxa"/>
              <w:end w:w="120" w:type="dxa"/>
            </w:tcMar>
            <w:shd w:fill="F4F8FB"/>
          </w:tcPr>
          <w:p>
            <w:pPr>
              <w:jc w:val="center"/>
            </w:pPr>
            <w:r>
              <w:rPr>
                <w:sz w:val="18"/>
              </w:rPr>
              <w:t>预测购买优势更低</w:t>
            </w:r>
          </w:p>
        </w:tc>
      </w:tr>
      <w:tr>
        <w:tc>
          <w:tcPr>
            <w:tcW w:type="dxa" w:w="3096"/>
            <w:vAlign w:val="center"/>
            <w:tcMar>
              <w:top w:w="100" w:type="dxa"/>
              <w:start w:w="120" w:type="dxa"/>
              <w:bottom w:w="100" w:type="dxa"/>
              <w:end w:w="120" w:type="dxa"/>
            </w:tcMar>
          </w:tcPr>
          <w:p>
            <w:pPr>
              <w:jc w:val="left"/>
            </w:pPr>
            <w:r>
              <w:rPr>
                <w:sz w:val="18"/>
              </w:rPr>
              <w:t>TrafficType_13</w:t>
            </w:r>
          </w:p>
        </w:tc>
        <w:tc>
          <w:tcPr>
            <w:tcW w:type="dxa" w:w="1152"/>
            <w:vAlign w:val="center"/>
            <w:tcMar>
              <w:top w:w="100" w:type="dxa"/>
              <w:start w:w="120" w:type="dxa"/>
              <w:bottom w:w="100" w:type="dxa"/>
              <w:end w:w="120" w:type="dxa"/>
            </w:tcMar>
          </w:tcPr>
          <w:p>
            <w:pPr>
              <w:jc w:val="center"/>
            </w:pPr>
            <w:r>
              <w:rPr>
                <w:sz w:val="18"/>
              </w:rPr>
              <w:t>-0.286</w:t>
            </w:r>
          </w:p>
        </w:tc>
        <w:tc>
          <w:tcPr>
            <w:tcW w:type="dxa" w:w="1224"/>
            <w:vAlign w:val="center"/>
            <w:tcMar>
              <w:top w:w="100" w:type="dxa"/>
              <w:start w:w="120" w:type="dxa"/>
              <w:bottom w:w="100" w:type="dxa"/>
              <w:end w:w="120" w:type="dxa"/>
            </w:tcMar>
          </w:tcPr>
          <w:p>
            <w:pPr>
              <w:jc w:val="center"/>
            </w:pPr>
            <w:r>
              <w:rPr>
                <w:sz w:val="18"/>
              </w:rPr>
              <w:t>0.751</w:t>
            </w:r>
          </w:p>
        </w:tc>
        <w:tc>
          <w:tcPr>
            <w:tcW w:type="dxa" w:w="3456"/>
            <w:vAlign w:val="center"/>
            <w:tcMar>
              <w:top w:w="100" w:type="dxa"/>
              <w:start w:w="120" w:type="dxa"/>
              <w:bottom w:w="100" w:type="dxa"/>
              <w:end w:w="120" w:type="dxa"/>
            </w:tcMar>
          </w:tcPr>
          <w:p>
            <w:pPr>
              <w:jc w:val="center"/>
            </w:pPr>
            <w:r>
              <w:rPr>
                <w:sz w:val="18"/>
              </w:rPr>
              <w:t>预测购买优势更低</w:t>
            </w:r>
          </w:p>
        </w:tc>
      </w:tr>
      <w:tr>
        <w:tc>
          <w:tcPr>
            <w:tcW w:type="dxa" w:w="3096"/>
            <w:vAlign w:val="center"/>
            <w:tcMar>
              <w:top w:w="100" w:type="dxa"/>
              <w:start w:w="120" w:type="dxa"/>
              <w:bottom w:w="100" w:type="dxa"/>
              <w:end w:w="120" w:type="dxa"/>
            </w:tcMar>
            <w:shd w:fill="F4F8FB"/>
          </w:tcPr>
          <w:p>
            <w:pPr>
              <w:jc w:val="left"/>
            </w:pPr>
            <w:r>
              <w:rPr>
                <w:sz w:val="18"/>
              </w:rPr>
              <w:t>Month_Dec</w:t>
            </w:r>
          </w:p>
        </w:tc>
        <w:tc>
          <w:tcPr>
            <w:tcW w:type="dxa" w:w="1152"/>
            <w:vAlign w:val="center"/>
            <w:tcMar>
              <w:top w:w="100" w:type="dxa"/>
              <w:start w:w="120" w:type="dxa"/>
              <w:bottom w:w="100" w:type="dxa"/>
              <w:end w:w="120" w:type="dxa"/>
            </w:tcMar>
            <w:shd w:fill="F4F8FB"/>
          </w:tcPr>
          <w:p>
            <w:pPr>
              <w:jc w:val="center"/>
            </w:pPr>
            <w:r>
              <w:rPr>
                <w:sz w:val="18"/>
              </w:rPr>
              <w:t>-0.268</w:t>
            </w:r>
          </w:p>
        </w:tc>
        <w:tc>
          <w:tcPr>
            <w:tcW w:type="dxa" w:w="1224"/>
            <w:vAlign w:val="center"/>
            <w:tcMar>
              <w:top w:w="100" w:type="dxa"/>
              <w:start w:w="120" w:type="dxa"/>
              <w:bottom w:w="100" w:type="dxa"/>
              <w:end w:w="120" w:type="dxa"/>
            </w:tcMar>
            <w:shd w:fill="F4F8FB"/>
          </w:tcPr>
          <w:p>
            <w:pPr>
              <w:jc w:val="center"/>
            </w:pPr>
            <w:r>
              <w:rPr>
                <w:sz w:val="18"/>
              </w:rPr>
              <w:t>0.765</w:t>
            </w:r>
          </w:p>
        </w:tc>
        <w:tc>
          <w:tcPr>
            <w:tcW w:type="dxa" w:w="3456"/>
            <w:vAlign w:val="center"/>
            <w:tcMar>
              <w:top w:w="100" w:type="dxa"/>
              <w:start w:w="120" w:type="dxa"/>
              <w:bottom w:w="100" w:type="dxa"/>
              <w:end w:w="120" w:type="dxa"/>
            </w:tcMar>
            <w:shd w:fill="F4F8FB"/>
          </w:tcPr>
          <w:p>
            <w:pPr>
              <w:jc w:val="center"/>
            </w:pPr>
            <w:r>
              <w:rPr>
                <w:sz w:val="18"/>
              </w:rPr>
              <w:t>预测购买优势更低</w:t>
            </w:r>
          </w:p>
        </w:tc>
      </w:tr>
      <w:tr>
        <w:tc>
          <w:tcPr>
            <w:tcW w:type="dxa" w:w="3096"/>
            <w:vAlign w:val="center"/>
            <w:tcMar>
              <w:top w:w="100" w:type="dxa"/>
              <w:start w:w="120" w:type="dxa"/>
              <w:bottom w:w="100" w:type="dxa"/>
              <w:end w:w="120" w:type="dxa"/>
            </w:tcMar>
          </w:tcPr>
          <w:p>
            <w:pPr>
              <w:jc w:val="left"/>
            </w:pPr>
            <w:r>
              <w:rPr>
                <w:sz w:val="18"/>
              </w:rPr>
              <w:t>TrafficType_3</w:t>
            </w:r>
          </w:p>
        </w:tc>
        <w:tc>
          <w:tcPr>
            <w:tcW w:type="dxa" w:w="1152"/>
            <w:vAlign w:val="center"/>
            <w:tcMar>
              <w:top w:w="100" w:type="dxa"/>
              <w:start w:w="120" w:type="dxa"/>
              <w:bottom w:w="100" w:type="dxa"/>
              <w:end w:w="120" w:type="dxa"/>
            </w:tcMar>
          </w:tcPr>
          <w:p>
            <w:pPr>
              <w:jc w:val="center"/>
            </w:pPr>
            <w:r>
              <w:rPr>
                <w:sz w:val="18"/>
              </w:rPr>
              <w:t>-0.261</w:t>
            </w:r>
          </w:p>
        </w:tc>
        <w:tc>
          <w:tcPr>
            <w:tcW w:type="dxa" w:w="1224"/>
            <w:vAlign w:val="center"/>
            <w:tcMar>
              <w:top w:w="100" w:type="dxa"/>
              <w:start w:w="120" w:type="dxa"/>
              <w:bottom w:w="100" w:type="dxa"/>
              <w:end w:w="120" w:type="dxa"/>
            </w:tcMar>
          </w:tcPr>
          <w:p>
            <w:pPr>
              <w:jc w:val="center"/>
            </w:pPr>
            <w:r>
              <w:rPr>
                <w:sz w:val="18"/>
              </w:rPr>
              <w:t>0.770</w:t>
            </w:r>
          </w:p>
        </w:tc>
        <w:tc>
          <w:tcPr>
            <w:tcW w:type="dxa" w:w="3456"/>
            <w:vAlign w:val="center"/>
            <w:tcMar>
              <w:top w:w="100" w:type="dxa"/>
              <w:start w:w="120" w:type="dxa"/>
              <w:bottom w:w="100" w:type="dxa"/>
              <w:end w:w="120" w:type="dxa"/>
            </w:tcMar>
          </w:tcPr>
          <w:p>
            <w:pPr>
              <w:jc w:val="center"/>
            </w:pPr>
            <w:r>
              <w:rPr>
                <w:sz w:val="18"/>
              </w:rPr>
              <w:t>预测购买优势更低</w:t>
            </w:r>
          </w:p>
        </w:tc>
      </w:tr>
      <w:tr>
        <w:tc>
          <w:tcPr>
            <w:tcW w:type="dxa" w:w="3096"/>
            <w:vAlign w:val="center"/>
            <w:tcMar>
              <w:top w:w="100" w:type="dxa"/>
              <w:start w:w="120" w:type="dxa"/>
              <w:bottom w:w="100" w:type="dxa"/>
              <w:end w:w="120" w:type="dxa"/>
            </w:tcMar>
            <w:shd w:fill="F4F8FB"/>
          </w:tcPr>
          <w:p>
            <w:pPr>
              <w:jc w:val="left"/>
            </w:pPr>
            <w:r>
              <w:rPr>
                <w:sz w:val="18"/>
              </w:rPr>
              <w:t>VisitorType_Returning_Visitor</w:t>
            </w:r>
          </w:p>
        </w:tc>
        <w:tc>
          <w:tcPr>
            <w:tcW w:type="dxa" w:w="1152"/>
            <w:vAlign w:val="center"/>
            <w:tcMar>
              <w:top w:w="100" w:type="dxa"/>
              <w:start w:w="120" w:type="dxa"/>
              <w:bottom w:w="100" w:type="dxa"/>
              <w:end w:w="120" w:type="dxa"/>
            </w:tcMar>
            <w:shd w:fill="F4F8FB"/>
          </w:tcPr>
          <w:p>
            <w:pPr>
              <w:jc w:val="center"/>
            </w:pPr>
            <w:r>
              <w:rPr>
                <w:sz w:val="18"/>
              </w:rPr>
              <w:t>-0.254</w:t>
            </w:r>
          </w:p>
        </w:tc>
        <w:tc>
          <w:tcPr>
            <w:tcW w:type="dxa" w:w="1224"/>
            <w:vAlign w:val="center"/>
            <w:tcMar>
              <w:top w:w="100" w:type="dxa"/>
              <w:start w:w="120" w:type="dxa"/>
              <w:bottom w:w="100" w:type="dxa"/>
              <w:end w:w="120" w:type="dxa"/>
            </w:tcMar>
            <w:shd w:fill="F4F8FB"/>
          </w:tcPr>
          <w:p>
            <w:pPr>
              <w:jc w:val="center"/>
            </w:pPr>
            <w:r>
              <w:rPr>
                <w:sz w:val="18"/>
              </w:rPr>
              <w:t>0.776</w:t>
            </w:r>
          </w:p>
        </w:tc>
        <w:tc>
          <w:tcPr>
            <w:tcW w:type="dxa" w:w="3456"/>
            <w:vAlign w:val="center"/>
            <w:tcMar>
              <w:top w:w="100" w:type="dxa"/>
              <w:start w:w="120" w:type="dxa"/>
              <w:bottom w:w="100" w:type="dxa"/>
              <w:end w:w="120" w:type="dxa"/>
            </w:tcMar>
            <w:shd w:fill="F4F8FB"/>
          </w:tcPr>
          <w:p>
            <w:pPr>
              <w:jc w:val="center"/>
            </w:pPr>
            <w:r>
              <w:rPr>
                <w:sz w:val="18"/>
              </w:rPr>
              <w:t>预测购买优势更低</w:t>
            </w:r>
          </w:p>
        </w:tc>
      </w:tr>
    </w:tbl>
    <w:p>
      <w:pPr>
        <w:spacing w:after="40"/>
      </w:pPr>
    </w:p>
    <w:p>
      <w:r>
        <w:t>在排除 PageValues 的主模型中，November 是最强的正向类别关联，其后是 ProductRelated Duration；ExitRates 是最强的负向关联。这些方向与转化倾向的直觉相符，但仍必须结合相关浏览变量及各类别的参考组解释。</w:t>
      </w:r>
    </w:p>
    <w:p>
      <w:pPr>
        <w:pStyle w:val="Heading1"/>
      </w:pPr>
      <w:r>
        <w:t>7 PageValues 与变换敏感性分析</w:t>
      </w:r>
    </w:p>
    <w:p>
      <w:r>
        <w:t>在独立测试集上，纳入 PageValues 使 ROC AUC 提高 0.143，PR AUC 提高 0.287。如此大的增益本身并不能证明该变量可被部署。UCI 对 PageValues 的说明涉及交易前访问页面的价值，不能确认它的计算是否使用了当前会话交易结果。除非能够从业务系统证明 PageValues 在转化结果发生前已经可用，否则小组报告应将含 PageValues 的模型表述为条件场景或性能上界。</w:t>
      </w:r>
    </w:p>
    <w:p>
      <w:r>
        <w:t>经 log1p 变换的主模型在测试集 PR AUC 上也略优于原始数值敏感性模型（0.335 对 0.327）。因此保留对数变换：它能减弱高度右偏的计数与时长变量的影响，同时保留非负含义，并且在每个验证折内独立学习。</w:t>
      </w:r>
    </w:p>
    <w:p>
      <w:pPr>
        <w:pStyle w:val="Heading1"/>
      </w:pPr>
      <w:r>
        <w:t>8 结论与交接建议</w:t>
      </w:r>
    </w:p>
    <w:p>
      <w:pPr>
        <w:pStyle w:val="ListBullet"/>
        <w:spacing w:after="60"/>
      </w:pPr>
      <w:r>
        <w:t>将排除 PageValues 的 L2 逻辑回归作为与其他模型比较及部署讨论时的可辩护基准。</w:t>
      </w:r>
    </w:p>
    <w:p>
      <w:pPr>
        <w:pStyle w:val="ListBullet"/>
        <w:spacing w:after="60"/>
      </w:pPr>
      <w:r>
        <w:t>同时报告 ROC AUC 与 PR AUC。购买类比例仅为 15.6%，PR AUC 对少数类排序质量尤其重要。</w:t>
      </w:r>
    </w:p>
    <w:p>
      <w:pPr>
        <w:pStyle w:val="ListBullet"/>
        <w:spacing w:after="60"/>
      </w:pPr>
      <w:r>
        <w:t>按业务成本用训练集交叉验证选择运营阈值，不应利用独立测试集调阈值。</w:t>
      </w:r>
    </w:p>
    <w:p>
      <w:pPr>
        <w:pStyle w:val="ListBullet"/>
        <w:spacing w:after="60"/>
      </w:pPr>
      <w:r>
        <w:t>保留 PageValues 结果作为敏感性分析；在确认其在转化结果发生前可获得前，不应把它作为可部署变量。</w:t>
      </w:r>
    </w:p>
    <w:p>
      <w:pPr>
        <w:pStyle w:val="ListBullet"/>
        <w:spacing w:after="60"/>
      </w:pPr>
      <w:r>
        <w:t>配套 notebook 可复现数据质量检查、EDA、预处理、五折调参、独立测试评估、系数表和所有敏感性检验，随机种子固定为 6805。</w:t>
      </w:r>
    </w:p>
    <w:p>
      <w:r/>
    </w:p>
    <w:p>
      <w:pPr>
        <w:pStyle w:val="Heading1"/>
      </w:pPr>
      <w:r>
        <w:t>附录 变量角色</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01"/>
        <w:gridCol w:w="4901"/>
      </w:tblGrid>
      <w:tr>
        <w:trPr>
          <w:tblHeader w:val="true"/>
        </w:trPr>
        <w:tc>
          <w:tcPr>
            <w:tcW w:type="dxa" w:w="2160"/>
            <w:vAlign w:val="center"/>
            <w:shd w:fill="1F4E78"/>
            <w:tcMar>
              <w:top w:w="100" w:type="dxa"/>
              <w:start w:w="120" w:type="dxa"/>
              <w:bottom w:w="100" w:type="dxa"/>
              <w:end w:w="120" w:type="dxa"/>
            </w:tcMar>
          </w:tcPr>
          <w:p>
            <w:pPr>
              <w:jc w:val="center"/>
            </w:pPr>
            <w:r>
              <w:rPr>
                <w:b/>
                <w:color w:val="FFFFFF"/>
                <w:sz w:val="18"/>
              </w:rPr>
              <w:t>角色</w:t>
            </w:r>
          </w:p>
        </w:tc>
        <w:tc>
          <w:tcPr>
            <w:tcW w:type="dxa" w:w="6840"/>
            <w:vAlign w:val="center"/>
            <w:shd w:fill="1F4E78"/>
            <w:tcMar>
              <w:top w:w="100" w:type="dxa"/>
              <w:start w:w="120" w:type="dxa"/>
              <w:bottom w:w="100" w:type="dxa"/>
              <w:end w:w="120" w:type="dxa"/>
            </w:tcMar>
          </w:tcPr>
          <w:p>
            <w:pPr>
              <w:jc w:val="center"/>
            </w:pPr>
            <w:r>
              <w:rPr>
                <w:b/>
                <w:color w:val="FFFFFF"/>
                <w:sz w:val="18"/>
              </w:rPr>
              <w:t>变量</w:t>
            </w:r>
          </w:p>
        </w:tc>
      </w:tr>
      <w:tr>
        <w:tc>
          <w:tcPr>
            <w:tcW w:type="dxa" w:w="2160"/>
            <w:vAlign w:val="center"/>
            <w:tcMar>
              <w:top w:w="100" w:type="dxa"/>
              <w:start w:w="120" w:type="dxa"/>
              <w:bottom w:w="100" w:type="dxa"/>
              <w:end w:w="120" w:type="dxa"/>
            </w:tcMar>
          </w:tcPr>
          <w:p>
            <w:pPr>
              <w:jc w:val="left"/>
            </w:pPr>
            <w:r>
              <w:rPr>
                <w:sz w:val="18"/>
              </w:rPr>
              <w:t>主模型数值变量</w:t>
            </w:r>
          </w:p>
        </w:tc>
        <w:tc>
          <w:tcPr>
            <w:tcW w:type="dxa" w:w="6840"/>
            <w:vAlign w:val="center"/>
            <w:tcMar>
              <w:top w:w="100" w:type="dxa"/>
              <w:start w:w="120" w:type="dxa"/>
              <w:bottom w:w="100" w:type="dxa"/>
              <w:end w:w="120" w:type="dxa"/>
            </w:tcMar>
          </w:tcPr>
          <w:p>
            <w:pPr>
              <w:jc w:val="center"/>
            </w:pPr>
            <w:r>
              <w:rPr>
                <w:sz w:val="18"/>
              </w:rPr>
              <w:t>Administrative、Administrative_Duration、Informational、Informational_Duration、ProductRelated、ProductRelated_Duration、BounceRates、ExitRates、SpecialDay</w:t>
            </w:r>
          </w:p>
        </w:tc>
      </w:tr>
      <w:tr>
        <w:tc>
          <w:tcPr>
            <w:tcW w:type="dxa" w:w="2160"/>
            <w:vAlign w:val="center"/>
            <w:tcMar>
              <w:top w:w="100" w:type="dxa"/>
              <w:start w:w="120" w:type="dxa"/>
              <w:bottom w:w="100" w:type="dxa"/>
              <w:end w:w="120" w:type="dxa"/>
            </w:tcMar>
            <w:shd w:fill="F4F8FB"/>
          </w:tcPr>
          <w:p>
            <w:pPr>
              <w:jc w:val="left"/>
            </w:pPr>
            <w:r>
              <w:rPr>
                <w:sz w:val="18"/>
              </w:rPr>
              <w:t>编码分类变量</w:t>
            </w:r>
          </w:p>
        </w:tc>
        <w:tc>
          <w:tcPr>
            <w:tcW w:type="dxa" w:w="6840"/>
            <w:vAlign w:val="center"/>
            <w:tcMar>
              <w:top w:w="100" w:type="dxa"/>
              <w:start w:w="120" w:type="dxa"/>
              <w:bottom w:w="100" w:type="dxa"/>
              <w:end w:w="120" w:type="dxa"/>
            </w:tcMar>
            <w:shd w:fill="F4F8FB"/>
          </w:tcPr>
          <w:p>
            <w:pPr>
              <w:jc w:val="center"/>
            </w:pPr>
            <w:r>
              <w:rPr>
                <w:sz w:val="18"/>
              </w:rPr>
              <w:t>Month、OperatingSystems、Browser、Region、TrafficType、VisitorType、Weekend</w:t>
            </w:r>
          </w:p>
        </w:tc>
      </w:tr>
      <w:tr>
        <w:tc>
          <w:tcPr>
            <w:tcW w:type="dxa" w:w="2160"/>
            <w:vAlign w:val="center"/>
            <w:tcMar>
              <w:top w:w="100" w:type="dxa"/>
              <w:start w:w="120" w:type="dxa"/>
              <w:bottom w:w="100" w:type="dxa"/>
              <w:end w:w="120" w:type="dxa"/>
            </w:tcMar>
          </w:tcPr>
          <w:p>
            <w:pPr>
              <w:jc w:val="left"/>
            </w:pPr>
            <w:r>
              <w:rPr>
                <w:sz w:val="18"/>
              </w:rPr>
              <w:t>仅敏感性分析</w:t>
            </w:r>
          </w:p>
        </w:tc>
        <w:tc>
          <w:tcPr>
            <w:tcW w:type="dxa" w:w="6840"/>
            <w:vAlign w:val="center"/>
            <w:tcMar>
              <w:top w:w="100" w:type="dxa"/>
              <w:start w:w="120" w:type="dxa"/>
              <w:bottom w:w="100" w:type="dxa"/>
              <w:end w:w="120" w:type="dxa"/>
            </w:tcMar>
          </w:tcPr>
          <w:p>
            <w:pPr>
              <w:jc w:val="center"/>
            </w:pPr>
            <w:r>
              <w:rPr>
                <w:sz w:val="18"/>
              </w:rPr>
              <w:t>PageValues</w:t>
            </w:r>
          </w:p>
        </w:tc>
      </w:tr>
      <w:tr>
        <w:tc>
          <w:tcPr>
            <w:tcW w:type="dxa" w:w="2160"/>
            <w:vAlign w:val="center"/>
            <w:tcMar>
              <w:top w:w="100" w:type="dxa"/>
              <w:start w:w="120" w:type="dxa"/>
              <w:bottom w:w="100" w:type="dxa"/>
              <w:end w:w="120" w:type="dxa"/>
            </w:tcMar>
            <w:shd w:fill="F4F8FB"/>
          </w:tcPr>
          <w:p>
            <w:pPr>
              <w:jc w:val="left"/>
            </w:pPr>
            <w:r>
              <w:rPr>
                <w:sz w:val="18"/>
              </w:rPr>
              <w:t>目标变量</w:t>
            </w:r>
          </w:p>
        </w:tc>
        <w:tc>
          <w:tcPr>
            <w:tcW w:type="dxa" w:w="6840"/>
            <w:vAlign w:val="center"/>
            <w:tcMar>
              <w:top w:w="100" w:type="dxa"/>
              <w:start w:w="120" w:type="dxa"/>
              <w:bottom w:w="100" w:type="dxa"/>
              <w:end w:w="120" w:type="dxa"/>
            </w:tcMar>
            <w:shd w:fill="F4F8FB"/>
          </w:tcPr>
          <w:p>
            <w:pPr>
              <w:jc w:val="center"/>
            </w:pPr>
            <w:r>
              <w:rPr>
                <w:sz w:val="18"/>
              </w:rPr>
              <w:t>Revenue</w:t>
            </w:r>
          </w:p>
        </w:tc>
      </w:tr>
    </w:tbl>
    <w:p>
      <w:pPr>
        <w:spacing w:after="40"/>
      </w:pPr>
    </w:p>
    <w:sectPr w:rsidR="00FC693F" w:rsidRPr="0006063C" w:rsidSect="00034616">
      <w:footerReference w:type="default" r:id="rId9"/>
      <w:pgSz w:w="12240" w:h="15840"/>
      <w:pgMar w:top="1191"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Microsoft YaHei"/>
        <w:sz w:val="16"/>
      </w:rPr>
      <w:t>MH6805 金融机器学习   第30组   王柄尧</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w:hAnsi="Aptos"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