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3A2A" w14:textId="77777777" w:rsidR="00BA1CF9" w:rsidRPr="00B72DBC" w:rsidRDefault="00000000">
      <w:pPr>
        <w:jc w:val="center"/>
        <w:rPr>
          <w:rFonts w:eastAsia="宋体" w:hint="eastAsia"/>
          <w:lang w:eastAsia="zh-CN"/>
        </w:rPr>
      </w:pPr>
      <w:r>
        <w:t>Nepal Earthquake Damage Prediction</w:t>
      </w:r>
    </w:p>
    <w:p w14:paraId="03E8EF95" w14:textId="77777777" w:rsidR="00BA1CF9" w:rsidRDefault="00BA1CF9">
      <w:pPr>
        <w:rPr>
          <w:rFonts w:hint="eastAsia"/>
        </w:rPr>
      </w:pPr>
    </w:p>
    <w:p w14:paraId="1A3BD643" w14:textId="77777777" w:rsidR="00BA1CF9" w:rsidRDefault="00000000">
      <w:pPr>
        <w:spacing w:after="100"/>
        <w:rPr>
          <w:rFonts w:hint="eastAsia"/>
        </w:rPr>
      </w:pPr>
      <w:r>
        <w:t>This complete technical report integrates the project’s data-quality audit, preprocessing, feature engineering, exploratory data analysis, model development, controlled experiments, explainability, geographic generalization tests, inspection-prioritization analysis, and public-leaderboard optimization into one document.</w:t>
      </w:r>
    </w:p>
    <w:p w14:paraId="0497857C" w14:textId="77777777" w:rsidR="00BA1CF9" w:rsidRDefault="00000000">
      <w:pPr>
        <w:spacing w:after="100"/>
        <w:rPr>
          <w:rFonts w:hint="eastAsia"/>
        </w:rPr>
      </w:pPr>
      <w:r>
        <w:t>Its purpose is to give all group members a reproducible and evidence-based account of what the coding subgroup implemented, what the data reveal, how modeling decisions were justified, which claims are supported by held-out evidence, and how the final competition score was achieved.</w:t>
      </w:r>
    </w:p>
    <w:p w14:paraId="43E8A1EA" w14:textId="77777777" w:rsidR="00BA1CF9" w:rsidRDefault="00BA1CF9">
      <w:pPr>
        <w:rPr>
          <w:rFonts w:hint="eastAsia"/>
        </w:rPr>
      </w:pPr>
    </w:p>
    <w:p w14:paraId="4E986CDE" w14:textId="77777777" w:rsidR="00BA1CF9" w:rsidRDefault="00000000">
      <w:pPr>
        <w:pStyle w:val="afa"/>
        <w:rPr>
          <w:rFonts w:hint="eastAsia"/>
        </w:rPr>
      </w:pPr>
      <w:r>
        <w:t>Executive summary. The official training data contain 260,601 buildings and 38 raw predictor variables, with no missing cells and one-to-one ID alignment between features and labels. The target is moderately imbalanced: Grade 2 accounts for 56.89%, Grade 3 for 33.47%, and Grade 1 for 9.64%. EDA reveals especially strong heterogeneity across geography, foundation, roof, construction material, age, and floor count. The final preprocessing pipeline produces 48 usable model features after removing building_id. On the fixed stratified validation split, LightGBM with one-hot categorical encoding achieved Micro F1 = 0.7474. Ablation shows geography is the dominant predictive signal, while structural variables add incremental value. Performance falls substantially on completely unseen Geo-Level-1 regions, highlighting a transferability limitation. For the public competition, targeted CatBoost/LightGBM tuning and probability ensembling improved the score from 0.7440 to 0.7515, ranking 252nd among 2,761 competitors at the time recorded, approximately the top 9.1%.</w:t>
      </w:r>
    </w:p>
    <w:p w14:paraId="489558D7" w14:textId="77777777" w:rsidR="00BA1CF9" w:rsidRDefault="00000000">
      <w:pPr>
        <w:rPr>
          <w:rFonts w:hint="eastAsia"/>
        </w:rPr>
      </w:pPr>
      <w:r>
        <w:br w:type="page"/>
      </w:r>
    </w:p>
    <w:p w14:paraId="247E01EE" w14:textId="77777777" w:rsidR="00BA1CF9" w:rsidRDefault="00000000">
      <w:pPr>
        <w:pStyle w:val="1"/>
      </w:pPr>
      <w:r>
        <w:lastRenderedPageBreak/>
        <w:t>1. Scope and Data Sources</w:t>
      </w:r>
    </w:p>
    <w:p w14:paraId="111CC86D" w14:textId="77777777" w:rsidR="00BA1CF9" w:rsidRDefault="00000000">
      <w:pPr>
        <w:spacing w:after="100"/>
        <w:rPr>
          <w:rFonts w:hint="eastAsia"/>
        </w:rPr>
      </w:pPr>
      <w:r>
        <w:t>The preprocessing stage uses the four official competition files and leaves the raw CSV files unchanged. All engineered features, split files, plots, and summaries are written to separate output locations. The identifier building_id is preserved for joins and final submission, then excluded from the model feature matrix at fit time.</w:t>
      </w:r>
    </w:p>
    <w:tbl>
      <w:tblPr>
        <w:tblStyle w:val="aff1"/>
        <w:tblW w:w="0" w:type="auto"/>
        <w:jc w:val="center"/>
        <w:tblLook w:val="04A0" w:firstRow="1" w:lastRow="0" w:firstColumn="1" w:lastColumn="0" w:noHBand="0" w:noVBand="1"/>
      </w:tblPr>
      <w:tblGrid>
        <w:gridCol w:w="2880"/>
        <w:gridCol w:w="1728"/>
        <w:gridCol w:w="1440"/>
        <w:gridCol w:w="3744"/>
      </w:tblGrid>
      <w:tr w:rsidR="00BA1CF9" w14:paraId="3544505A" w14:textId="77777777">
        <w:trPr>
          <w:jc w:val="center"/>
        </w:trPr>
        <w:tc>
          <w:tcPr>
            <w:tcW w:w="2880" w:type="dxa"/>
            <w:shd w:val="clear" w:color="auto" w:fill="D9EAF7"/>
            <w:vAlign w:val="center"/>
          </w:tcPr>
          <w:p w14:paraId="1841C395" w14:textId="77777777" w:rsidR="00BA1CF9" w:rsidRDefault="00000000">
            <w:pPr>
              <w:rPr>
                <w:rFonts w:hint="eastAsia"/>
              </w:rPr>
            </w:pPr>
            <w:r>
              <w:rPr>
                <w:b/>
                <w:sz w:val="17"/>
              </w:rPr>
              <w:t>File</w:t>
            </w:r>
          </w:p>
        </w:tc>
        <w:tc>
          <w:tcPr>
            <w:tcW w:w="1728" w:type="dxa"/>
            <w:shd w:val="clear" w:color="auto" w:fill="D9EAF7"/>
            <w:vAlign w:val="center"/>
          </w:tcPr>
          <w:p w14:paraId="2DF8F7A2" w14:textId="77777777" w:rsidR="00BA1CF9" w:rsidRDefault="00000000">
            <w:pPr>
              <w:rPr>
                <w:rFonts w:hint="eastAsia"/>
              </w:rPr>
            </w:pPr>
            <w:r>
              <w:rPr>
                <w:b/>
                <w:sz w:val="17"/>
              </w:rPr>
              <w:t>Rows</w:t>
            </w:r>
          </w:p>
        </w:tc>
        <w:tc>
          <w:tcPr>
            <w:tcW w:w="1440" w:type="dxa"/>
            <w:shd w:val="clear" w:color="auto" w:fill="D9EAF7"/>
            <w:vAlign w:val="center"/>
          </w:tcPr>
          <w:p w14:paraId="4340C6C9" w14:textId="77777777" w:rsidR="00BA1CF9" w:rsidRDefault="00000000">
            <w:pPr>
              <w:rPr>
                <w:rFonts w:hint="eastAsia"/>
              </w:rPr>
            </w:pPr>
            <w:r>
              <w:rPr>
                <w:b/>
                <w:sz w:val="17"/>
              </w:rPr>
              <w:t>Columns</w:t>
            </w:r>
          </w:p>
        </w:tc>
        <w:tc>
          <w:tcPr>
            <w:tcW w:w="3744" w:type="dxa"/>
            <w:shd w:val="clear" w:color="auto" w:fill="D9EAF7"/>
            <w:vAlign w:val="center"/>
          </w:tcPr>
          <w:p w14:paraId="2716EB0E" w14:textId="77777777" w:rsidR="00BA1CF9" w:rsidRDefault="00000000">
            <w:pPr>
              <w:rPr>
                <w:rFonts w:hint="eastAsia"/>
              </w:rPr>
            </w:pPr>
            <w:r>
              <w:rPr>
                <w:b/>
                <w:sz w:val="17"/>
              </w:rPr>
              <w:t>Role</w:t>
            </w:r>
          </w:p>
        </w:tc>
      </w:tr>
      <w:tr w:rsidR="00BA1CF9" w14:paraId="45785C61" w14:textId="77777777">
        <w:trPr>
          <w:jc w:val="center"/>
        </w:trPr>
        <w:tc>
          <w:tcPr>
            <w:tcW w:w="2880" w:type="dxa"/>
            <w:vAlign w:val="center"/>
          </w:tcPr>
          <w:p w14:paraId="18CB657D" w14:textId="77777777" w:rsidR="00BA1CF9" w:rsidRDefault="00000000">
            <w:pPr>
              <w:rPr>
                <w:rFonts w:hint="eastAsia"/>
              </w:rPr>
            </w:pPr>
            <w:r>
              <w:rPr>
                <w:sz w:val="17"/>
              </w:rPr>
              <w:t>train_values.csv</w:t>
            </w:r>
          </w:p>
        </w:tc>
        <w:tc>
          <w:tcPr>
            <w:tcW w:w="1728" w:type="dxa"/>
            <w:vAlign w:val="center"/>
          </w:tcPr>
          <w:p w14:paraId="4E012940" w14:textId="77777777" w:rsidR="00BA1CF9" w:rsidRDefault="00000000">
            <w:pPr>
              <w:rPr>
                <w:rFonts w:hint="eastAsia"/>
              </w:rPr>
            </w:pPr>
            <w:r>
              <w:rPr>
                <w:sz w:val="17"/>
              </w:rPr>
              <w:t>260,601</w:t>
            </w:r>
          </w:p>
        </w:tc>
        <w:tc>
          <w:tcPr>
            <w:tcW w:w="1440" w:type="dxa"/>
            <w:vAlign w:val="center"/>
          </w:tcPr>
          <w:p w14:paraId="1D9868F9" w14:textId="77777777" w:rsidR="00BA1CF9" w:rsidRDefault="00000000">
            <w:pPr>
              <w:rPr>
                <w:rFonts w:hint="eastAsia"/>
              </w:rPr>
            </w:pPr>
            <w:r>
              <w:rPr>
                <w:sz w:val="17"/>
              </w:rPr>
              <w:t>39</w:t>
            </w:r>
          </w:p>
        </w:tc>
        <w:tc>
          <w:tcPr>
            <w:tcW w:w="3744" w:type="dxa"/>
            <w:vAlign w:val="center"/>
          </w:tcPr>
          <w:p w14:paraId="7AFFE16F" w14:textId="77777777" w:rsidR="00BA1CF9" w:rsidRDefault="00000000">
            <w:pPr>
              <w:rPr>
                <w:rFonts w:hint="eastAsia"/>
              </w:rPr>
            </w:pPr>
            <w:r>
              <w:rPr>
                <w:sz w:val="17"/>
              </w:rPr>
              <w:t>Training predictors plus building_id</w:t>
            </w:r>
          </w:p>
        </w:tc>
      </w:tr>
      <w:tr w:rsidR="00BA1CF9" w14:paraId="6E8F6648" w14:textId="77777777">
        <w:trPr>
          <w:jc w:val="center"/>
        </w:trPr>
        <w:tc>
          <w:tcPr>
            <w:tcW w:w="2880" w:type="dxa"/>
            <w:vAlign w:val="center"/>
          </w:tcPr>
          <w:p w14:paraId="357CD539" w14:textId="77777777" w:rsidR="00BA1CF9" w:rsidRDefault="00000000">
            <w:pPr>
              <w:rPr>
                <w:rFonts w:hint="eastAsia"/>
              </w:rPr>
            </w:pPr>
            <w:r>
              <w:rPr>
                <w:sz w:val="17"/>
              </w:rPr>
              <w:t>train_labels.csv</w:t>
            </w:r>
          </w:p>
        </w:tc>
        <w:tc>
          <w:tcPr>
            <w:tcW w:w="1728" w:type="dxa"/>
            <w:vAlign w:val="center"/>
          </w:tcPr>
          <w:p w14:paraId="110CB956" w14:textId="77777777" w:rsidR="00BA1CF9" w:rsidRDefault="00000000">
            <w:pPr>
              <w:rPr>
                <w:rFonts w:hint="eastAsia"/>
              </w:rPr>
            </w:pPr>
            <w:r>
              <w:rPr>
                <w:sz w:val="17"/>
              </w:rPr>
              <w:t>260,601</w:t>
            </w:r>
          </w:p>
        </w:tc>
        <w:tc>
          <w:tcPr>
            <w:tcW w:w="1440" w:type="dxa"/>
            <w:vAlign w:val="center"/>
          </w:tcPr>
          <w:p w14:paraId="302ED29D" w14:textId="77777777" w:rsidR="00BA1CF9" w:rsidRDefault="00000000">
            <w:pPr>
              <w:rPr>
                <w:rFonts w:hint="eastAsia"/>
              </w:rPr>
            </w:pPr>
            <w:r>
              <w:rPr>
                <w:sz w:val="17"/>
              </w:rPr>
              <w:t>2</w:t>
            </w:r>
          </w:p>
        </w:tc>
        <w:tc>
          <w:tcPr>
            <w:tcW w:w="3744" w:type="dxa"/>
            <w:vAlign w:val="center"/>
          </w:tcPr>
          <w:p w14:paraId="0F52979F" w14:textId="77777777" w:rsidR="00BA1CF9" w:rsidRDefault="00000000">
            <w:pPr>
              <w:rPr>
                <w:rFonts w:hint="eastAsia"/>
              </w:rPr>
            </w:pPr>
            <w:r>
              <w:rPr>
                <w:sz w:val="17"/>
              </w:rPr>
              <w:t>building_id and damage_grade</w:t>
            </w:r>
          </w:p>
        </w:tc>
      </w:tr>
      <w:tr w:rsidR="00BA1CF9" w14:paraId="0C46D06E" w14:textId="77777777">
        <w:trPr>
          <w:jc w:val="center"/>
        </w:trPr>
        <w:tc>
          <w:tcPr>
            <w:tcW w:w="2880" w:type="dxa"/>
            <w:vAlign w:val="center"/>
          </w:tcPr>
          <w:p w14:paraId="0E53C8DA" w14:textId="77777777" w:rsidR="00BA1CF9" w:rsidRDefault="00000000">
            <w:pPr>
              <w:rPr>
                <w:rFonts w:hint="eastAsia"/>
              </w:rPr>
            </w:pPr>
            <w:r>
              <w:rPr>
                <w:sz w:val="17"/>
              </w:rPr>
              <w:t>test_values.csv</w:t>
            </w:r>
          </w:p>
        </w:tc>
        <w:tc>
          <w:tcPr>
            <w:tcW w:w="1728" w:type="dxa"/>
            <w:vAlign w:val="center"/>
          </w:tcPr>
          <w:p w14:paraId="3F4D0DDD" w14:textId="77777777" w:rsidR="00BA1CF9" w:rsidRDefault="00000000">
            <w:pPr>
              <w:rPr>
                <w:rFonts w:hint="eastAsia"/>
              </w:rPr>
            </w:pPr>
            <w:r>
              <w:rPr>
                <w:sz w:val="17"/>
              </w:rPr>
              <w:t>86,868</w:t>
            </w:r>
          </w:p>
        </w:tc>
        <w:tc>
          <w:tcPr>
            <w:tcW w:w="1440" w:type="dxa"/>
            <w:vAlign w:val="center"/>
          </w:tcPr>
          <w:p w14:paraId="0A19B9BF" w14:textId="77777777" w:rsidR="00BA1CF9" w:rsidRDefault="00000000">
            <w:pPr>
              <w:rPr>
                <w:rFonts w:hint="eastAsia"/>
              </w:rPr>
            </w:pPr>
            <w:r>
              <w:rPr>
                <w:sz w:val="17"/>
              </w:rPr>
              <w:t>39</w:t>
            </w:r>
          </w:p>
        </w:tc>
        <w:tc>
          <w:tcPr>
            <w:tcW w:w="3744" w:type="dxa"/>
            <w:vAlign w:val="center"/>
          </w:tcPr>
          <w:p w14:paraId="17F77B6D" w14:textId="77777777" w:rsidR="00BA1CF9" w:rsidRDefault="00000000">
            <w:pPr>
              <w:rPr>
                <w:rFonts w:hint="eastAsia"/>
              </w:rPr>
            </w:pPr>
            <w:r>
              <w:rPr>
                <w:sz w:val="17"/>
              </w:rPr>
              <w:t>Official test predictors plus building_id</w:t>
            </w:r>
          </w:p>
        </w:tc>
      </w:tr>
      <w:tr w:rsidR="00BA1CF9" w14:paraId="03BF4331" w14:textId="77777777">
        <w:trPr>
          <w:jc w:val="center"/>
        </w:trPr>
        <w:tc>
          <w:tcPr>
            <w:tcW w:w="2880" w:type="dxa"/>
            <w:vAlign w:val="center"/>
          </w:tcPr>
          <w:p w14:paraId="13B6B88C" w14:textId="77777777" w:rsidR="00BA1CF9" w:rsidRDefault="00000000">
            <w:pPr>
              <w:rPr>
                <w:rFonts w:hint="eastAsia"/>
              </w:rPr>
            </w:pPr>
            <w:r>
              <w:rPr>
                <w:sz w:val="17"/>
              </w:rPr>
              <w:t>submission_format.csv</w:t>
            </w:r>
          </w:p>
        </w:tc>
        <w:tc>
          <w:tcPr>
            <w:tcW w:w="1728" w:type="dxa"/>
            <w:vAlign w:val="center"/>
          </w:tcPr>
          <w:p w14:paraId="63D28941" w14:textId="77777777" w:rsidR="00BA1CF9" w:rsidRDefault="00000000">
            <w:pPr>
              <w:rPr>
                <w:rFonts w:hint="eastAsia"/>
              </w:rPr>
            </w:pPr>
            <w:r>
              <w:rPr>
                <w:sz w:val="17"/>
              </w:rPr>
              <w:t>86,868</w:t>
            </w:r>
          </w:p>
        </w:tc>
        <w:tc>
          <w:tcPr>
            <w:tcW w:w="1440" w:type="dxa"/>
            <w:vAlign w:val="center"/>
          </w:tcPr>
          <w:p w14:paraId="1EE87DDF" w14:textId="77777777" w:rsidR="00BA1CF9" w:rsidRDefault="00000000">
            <w:pPr>
              <w:rPr>
                <w:rFonts w:hint="eastAsia"/>
              </w:rPr>
            </w:pPr>
            <w:r>
              <w:rPr>
                <w:sz w:val="17"/>
              </w:rPr>
              <w:t>2</w:t>
            </w:r>
          </w:p>
        </w:tc>
        <w:tc>
          <w:tcPr>
            <w:tcW w:w="3744" w:type="dxa"/>
            <w:vAlign w:val="center"/>
          </w:tcPr>
          <w:p w14:paraId="5831A622" w14:textId="77777777" w:rsidR="00BA1CF9" w:rsidRDefault="00000000">
            <w:pPr>
              <w:rPr>
                <w:rFonts w:hint="eastAsia"/>
              </w:rPr>
            </w:pPr>
            <w:r>
              <w:rPr>
                <w:sz w:val="17"/>
              </w:rPr>
              <w:t>Official submission template</w:t>
            </w:r>
          </w:p>
        </w:tc>
      </w:tr>
    </w:tbl>
    <w:p w14:paraId="5B81644C" w14:textId="77777777" w:rsidR="00BA1CF9" w:rsidRDefault="00BA1CF9">
      <w:pPr>
        <w:rPr>
          <w:rFonts w:hint="eastAsia"/>
        </w:rPr>
      </w:pPr>
    </w:p>
    <w:p w14:paraId="0DF1ABFA" w14:textId="77777777" w:rsidR="00BA1CF9" w:rsidRDefault="00000000">
      <w:pPr>
        <w:spacing w:after="100"/>
        <w:rPr>
          <w:rFonts w:hint="eastAsia"/>
        </w:rPr>
      </w:pPr>
      <w:r>
        <w:t>The train and test feature schemas match exactly. building_id is unique within each file. Training IDs align one-to-one with the label file, and test IDs align one-to-one with the submission template.</w:t>
      </w:r>
    </w:p>
    <w:p w14:paraId="0B5F4CAC" w14:textId="77777777" w:rsidR="00BA1CF9" w:rsidRDefault="00000000">
      <w:pPr>
        <w:pStyle w:val="1"/>
      </w:pPr>
      <w:r>
        <w:t>2. Data Quality and Integrity Checks</w:t>
      </w:r>
    </w:p>
    <w:tbl>
      <w:tblPr>
        <w:tblStyle w:val="aff1"/>
        <w:tblW w:w="0" w:type="auto"/>
        <w:jc w:val="center"/>
        <w:tblLook w:val="04A0" w:firstRow="1" w:lastRow="0" w:firstColumn="1" w:lastColumn="0" w:noHBand="0" w:noVBand="1"/>
      </w:tblPr>
      <w:tblGrid>
        <w:gridCol w:w="2880"/>
        <w:gridCol w:w="6912"/>
      </w:tblGrid>
      <w:tr w:rsidR="00BA1CF9" w14:paraId="0E5B2336" w14:textId="77777777">
        <w:trPr>
          <w:jc w:val="center"/>
        </w:trPr>
        <w:tc>
          <w:tcPr>
            <w:tcW w:w="2880" w:type="dxa"/>
            <w:shd w:val="clear" w:color="auto" w:fill="D9EAF7"/>
            <w:vAlign w:val="center"/>
          </w:tcPr>
          <w:p w14:paraId="620D1476" w14:textId="77777777" w:rsidR="00BA1CF9" w:rsidRDefault="00000000">
            <w:pPr>
              <w:rPr>
                <w:rFonts w:hint="eastAsia"/>
              </w:rPr>
            </w:pPr>
            <w:r>
              <w:rPr>
                <w:b/>
                <w:sz w:val="17"/>
              </w:rPr>
              <w:t>Check</w:t>
            </w:r>
          </w:p>
        </w:tc>
        <w:tc>
          <w:tcPr>
            <w:tcW w:w="6912" w:type="dxa"/>
            <w:shd w:val="clear" w:color="auto" w:fill="D9EAF7"/>
            <w:vAlign w:val="center"/>
          </w:tcPr>
          <w:p w14:paraId="2AD6D2A1" w14:textId="77777777" w:rsidR="00BA1CF9" w:rsidRDefault="00000000">
            <w:pPr>
              <w:rPr>
                <w:rFonts w:hint="eastAsia"/>
              </w:rPr>
            </w:pPr>
            <w:r>
              <w:rPr>
                <w:b/>
                <w:sz w:val="17"/>
              </w:rPr>
              <w:t>Result</w:t>
            </w:r>
          </w:p>
        </w:tc>
      </w:tr>
      <w:tr w:rsidR="00BA1CF9" w14:paraId="7AD0B79D" w14:textId="77777777">
        <w:trPr>
          <w:jc w:val="center"/>
        </w:trPr>
        <w:tc>
          <w:tcPr>
            <w:tcW w:w="2880" w:type="dxa"/>
            <w:vAlign w:val="center"/>
          </w:tcPr>
          <w:p w14:paraId="59629559" w14:textId="77777777" w:rsidR="00BA1CF9" w:rsidRDefault="00000000">
            <w:pPr>
              <w:rPr>
                <w:rFonts w:hint="eastAsia"/>
              </w:rPr>
            </w:pPr>
            <w:r>
              <w:rPr>
                <w:sz w:val="17"/>
              </w:rPr>
              <w:t>Missing values</w:t>
            </w:r>
          </w:p>
        </w:tc>
        <w:tc>
          <w:tcPr>
            <w:tcW w:w="6912" w:type="dxa"/>
            <w:vAlign w:val="center"/>
          </w:tcPr>
          <w:p w14:paraId="36086328" w14:textId="77777777" w:rsidR="00BA1CF9" w:rsidRDefault="00000000">
            <w:pPr>
              <w:rPr>
                <w:rFonts w:hint="eastAsia"/>
              </w:rPr>
            </w:pPr>
            <w:r>
              <w:rPr>
                <w:sz w:val="17"/>
              </w:rPr>
              <w:t>Zero missing cells were found in all four official input tables.</w:t>
            </w:r>
          </w:p>
        </w:tc>
      </w:tr>
      <w:tr w:rsidR="00BA1CF9" w14:paraId="2814100D" w14:textId="77777777">
        <w:trPr>
          <w:jc w:val="center"/>
        </w:trPr>
        <w:tc>
          <w:tcPr>
            <w:tcW w:w="2880" w:type="dxa"/>
            <w:vAlign w:val="center"/>
          </w:tcPr>
          <w:p w14:paraId="34210A2E" w14:textId="77777777" w:rsidR="00BA1CF9" w:rsidRDefault="00000000">
            <w:pPr>
              <w:rPr>
                <w:rFonts w:hint="eastAsia"/>
              </w:rPr>
            </w:pPr>
            <w:r>
              <w:rPr>
                <w:sz w:val="17"/>
              </w:rPr>
              <w:t>Duplicate rows</w:t>
            </w:r>
          </w:p>
        </w:tc>
        <w:tc>
          <w:tcPr>
            <w:tcW w:w="6912" w:type="dxa"/>
            <w:vAlign w:val="center"/>
          </w:tcPr>
          <w:p w14:paraId="72906232" w14:textId="77777777" w:rsidR="00BA1CF9" w:rsidRDefault="00000000">
            <w:pPr>
              <w:rPr>
                <w:rFonts w:hint="eastAsia"/>
              </w:rPr>
            </w:pPr>
            <w:r>
              <w:rPr>
                <w:sz w:val="17"/>
              </w:rPr>
              <w:t>No fully duplicated rows were found in the official tables.</w:t>
            </w:r>
          </w:p>
        </w:tc>
      </w:tr>
      <w:tr w:rsidR="00BA1CF9" w14:paraId="60FE5EED" w14:textId="77777777">
        <w:trPr>
          <w:jc w:val="center"/>
        </w:trPr>
        <w:tc>
          <w:tcPr>
            <w:tcW w:w="2880" w:type="dxa"/>
            <w:vAlign w:val="center"/>
          </w:tcPr>
          <w:p w14:paraId="24B88E2D" w14:textId="77777777" w:rsidR="00BA1CF9" w:rsidRDefault="00000000">
            <w:pPr>
              <w:rPr>
                <w:rFonts w:hint="eastAsia"/>
              </w:rPr>
            </w:pPr>
            <w:r>
              <w:rPr>
                <w:sz w:val="17"/>
              </w:rPr>
              <w:t>Identifier integrity</w:t>
            </w:r>
          </w:p>
        </w:tc>
        <w:tc>
          <w:tcPr>
            <w:tcW w:w="6912" w:type="dxa"/>
            <w:vAlign w:val="center"/>
          </w:tcPr>
          <w:p w14:paraId="57332AD0" w14:textId="77777777" w:rsidR="00BA1CF9" w:rsidRDefault="00000000">
            <w:pPr>
              <w:rPr>
                <w:rFonts w:hint="eastAsia"/>
              </w:rPr>
            </w:pPr>
            <w:r>
              <w:rPr>
                <w:sz w:val="17"/>
              </w:rPr>
              <w:t>building_id is unique and the feature/label ID sets match.</w:t>
            </w:r>
          </w:p>
        </w:tc>
      </w:tr>
      <w:tr w:rsidR="00BA1CF9" w14:paraId="1C6C7848" w14:textId="77777777">
        <w:trPr>
          <w:jc w:val="center"/>
        </w:trPr>
        <w:tc>
          <w:tcPr>
            <w:tcW w:w="2880" w:type="dxa"/>
            <w:vAlign w:val="center"/>
          </w:tcPr>
          <w:p w14:paraId="198CA37C" w14:textId="77777777" w:rsidR="00BA1CF9" w:rsidRDefault="00000000">
            <w:pPr>
              <w:rPr>
                <w:rFonts w:hint="eastAsia"/>
              </w:rPr>
            </w:pPr>
            <w:r>
              <w:rPr>
                <w:sz w:val="17"/>
              </w:rPr>
              <w:t>Schema consistency</w:t>
            </w:r>
          </w:p>
        </w:tc>
        <w:tc>
          <w:tcPr>
            <w:tcW w:w="6912" w:type="dxa"/>
            <w:vAlign w:val="center"/>
          </w:tcPr>
          <w:p w14:paraId="4368896A" w14:textId="77777777" w:rsidR="00BA1CF9" w:rsidRDefault="00000000">
            <w:pPr>
              <w:rPr>
                <w:rFonts w:hint="eastAsia"/>
              </w:rPr>
            </w:pPr>
            <w:r>
              <w:rPr>
                <w:sz w:val="17"/>
              </w:rPr>
              <w:t>Training and test predictor columns are identical.</w:t>
            </w:r>
          </w:p>
        </w:tc>
      </w:tr>
      <w:tr w:rsidR="00BA1CF9" w14:paraId="62A261CD" w14:textId="77777777">
        <w:trPr>
          <w:jc w:val="center"/>
        </w:trPr>
        <w:tc>
          <w:tcPr>
            <w:tcW w:w="2880" w:type="dxa"/>
            <w:vAlign w:val="center"/>
          </w:tcPr>
          <w:p w14:paraId="084F34A8" w14:textId="77777777" w:rsidR="00BA1CF9" w:rsidRDefault="00000000">
            <w:pPr>
              <w:rPr>
                <w:rFonts w:hint="eastAsia"/>
              </w:rPr>
            </w:pPr>
            <w:r>
              <w:rPr>
                <w:sz w:val="17"/>
              </w:rPr>
              <w:t>Binary indicators</w:t>
            </w:r>
          </w:p>
        </w:tc>
        <w:tc>
          <w:tcPr>
            <w:tcW w:w="6912" w:type="dxa"/>
            <w:vAlign w:val="center"/>
          </w:tcPr>
          <w:p w14:paraId="61A3C3FB" w14:textId="77777777" w:rsidR="00BA1CF9" w:rsidRDefault="00000000">
            <w:pPr>
              <w:rPr>
                <w:rFonts w:hint="eastAsia"/>
              </w:rPr>
            </w:pPr>
            <w:r>
              <w:rPr>
                <w:sz w:val="17"/>
              </w:rPr>
              <w:t>Superstructure and secondary-use indicator fields contain valid 0/1 values.</w:t>
            </w:r>
          </w:p>
        </w:tc>
      </w:tr>
      <w:tr w:rsidR="00BA1CF9" w14:paraId="0DF22740" w14:textId="77777777">
        <w:trPr>
          <w:jc w:val="center"/>
        </w:trPr>
        <w:tc>
          <w:tcPr>
            <w:tcW w:w="2880" w:type="dxa"/>
            <w:vAlign w:val="center"/>
          </w:tcPr>
          <w:p w14:paraId="0A8EEBB7" w14:textId="77777777" w:rsidR="00BA1CF9" w:rsidRDefault="00000000">
            <w:pPr>
              <w:rPr>
                <w:rFonts w:hint="eastAsia"/>
              </w:rPr>
            </w:pPr>
            <w:r>
              <w:rPr>
                <w:sz w:val="17"/>
              </w:rPr>
              <w:t>Secondary-use consistency</w:t>
            </w:r>
          </w:p>
        </w:tc>
        <w:tc>
          <w:tcPr>
            <w:tcW w:w="6912" w:type="dxa"/>
            <w:vAlign w:val="center"/>
          </w:tcPr>
          <w:p w14:paraId="27F570B9" w14:textId="77777777" w:rsidR="00BA1CF9" w:rsidRDefault="00000000">
            <w:pPr>
              <w:rPr>
                <w:rFonts w:hint="eastAsia"/>
              </w:rPr>
            </w:pPr>
            <w:r>
              <w:rPr>
                <w:sz w:val="17"/>
              </w:rPr>
              <w:t>The broad has_secondary_use indicator has no logical conflict with the detailed secondary-use indicators.</w:t>
            </w:r>
          </w:p>
        </w:tc>
      </w:tr>
    </w:tbl>
    <w:p w14:paraId="1DD88503" w14:textId="77777777" w:rsidR="00BA1CF9" w:rsidRDefault="00BA1CF9">
      <w:pPr>
        <w:rPr>
          <w:rFonts w:hint="eastAsia"/>
        </w:rPr>
      </w:pPr>
    </w:p>
    <w:p w14:paraId="167397DD" w14:textId="77777777" w:rsidR="00BA1CF9" w:rsidRDefault="00000000">
      <w:pPr>
        <w:pStyle w:val="KeyFinding"/>
        <w:rPr>
          <w:rFonts w:hint="eastAsia"/>
        </w:rPr>
      </w:pPr>
      <w:r>
        <w:t>Key finding: The official data are unusually clean for a real-world tabular problem. Most preprocessing effort therefore focuses on representation, robust feature construction, and leakage-safe validation rather than missing-value repair.</w:t>
      </w:r>
    </w:p>
    <w:p w14:paraId="6B95AF9B" w14:textId="77777777" w:rsidR="00BA1CF9" w:rsidRDefault="00000000">
      <w:pPr>
        <w:pStyle w:val="1"/>
      </w:pPr>
      <w:r>
        <w:t>3. Preprocessing Principles and Leakage Controls</w:t>
      </w:r>
    </w:p>
    <w:p w14:paraId="687EC198" w14:textId="77777777" w:rsidR="00BA1CF9" w:rsidRDefault="00000000">
      <w:pPr>
        <w:spacing w:after="100"/>
        <w:rPr>
          <w:rFonts w:hint="eastAsia"/>
        </w:rPr>
      </w:pPr>
      <w:r>
        <w:t>Geographic IDs are categorical identities. geo_level_1_id, geo_level_2_id, and geo_level_3_id do not represent ordered numeric quantities, so they are treated as strings/categories for models that require explicit type handling.</w:t>
      </w:r>
    </w:p>
    <w:p w14:paraId="61D5E0D3" w14:textId="77777777" w:rsidR="00BA1CF9" w:rsidRDefault="00000000">
      <w:pPr>
        <w:spacing w:after="100"/>
        <w:rPr>
          <w:rFonts w:hint="eastAsia"/>
        </w:rPr>
      </w:pPr>
      <w:r>
        <w:t>Categorical encoding, numerical imputation, scaling, resampling, or any learned transformation must be fit on the training subset only. Validation and test data receive transform-only operations.</w:t>
      </w:r>
    </w:p>
    <w:p w14:paraId="651EDB1D" w14:textId="77777777" w:rsidR="00BA1CF9" w:rsidRDefault="00000000">
      <w:pPr>
        <w:spacing w:after="100"/>
        <w:rPr>
          <w:rFonts w:hint="eastAsia"/>
        </w:rPr>
      </w:pPr>
      <w:r>
        <w:t>The agreed split is a stratified 80/20 train-validation split with random_state = 42. This produces 208,480 training observations and 52,121 validation observations while preserving the target proportions.</w:t>
      </w:r>
    </w:p>
    <w:p w14:paraId="6BC8C6EB" w14:textId="77777777" w:rsidR="00BA1CF9" w:rsidRDefault="00000000">
      <w:pPr>
        <w:spacing w:after="100"/>
        <w:rPr>
          <w:rFonts w:hint="eastAsia"/>
        </w:rPr>
      </w:pPr>
      <w:r>
        <w:t>Observed geographic damage rates use damage_grade and therefore remain EDA-only outputs. They are never merged into the model matrix. Any future geography target encoding must be implemented out of fold.</w:t>
      </w:r>
    </w:p>
    <w:p w14:paraId="108407FB" w14:textId="77777777" w:rsidR="00BA1CF9" w:rsidRDefault="00000000">
      <w:pPr>
        <w:pStyle w:val="1"/>
      </w:pPr>
      <w:r>
        <w:t>4. Feature Engineering</w:t>
      </w:r>
    </w:p>
    <w:p w14:paraId="3432DD29" w14:textId="77777777" w:rsidR="00BA1CF9" w:rsidRDefault="00000000">
      <w:pPr>
        <w:spacing w:after="100"/>
        <w:rPr>
          <w:rFonts w:hint="eastAsia"/>
        </w:rPr>
      </w:pPr>
      <w:r>
        <w:t>The final preprocessing design keeps the original official predictors and adds a small set of interpretable derived variables. The first group came from the original preprocessing work; the second group was added in the supplementary notebook so that the modeling stage receives a more complete feature table.</w:t>
      </w:r>
    </w:p>
    <w:tbl>
      <w:tblPr>
        <w:tblStyle w:val="aff1"/>
        <w:tblW w:w="0" w:type="auto"/>
        <w:jc w:val="center"/>
        <w:tblLook w:val="04A0" w:firstRow="1" w:lastRow="0" w:firstColumn="1" w:lastColumn="0" w:noHBand="0" w:noVBand="1"/>
      </w:tblPr>
      <w:tblGrid>
        <w:gridCol w:w="2232"/>
        <w:gridCol w:w="4032"/>
        <w:gridCol w:w="3816"/>
      </w:tblGrid>
      <w:tr w:rsidR="00BA1CF9" w14:paraId="5A6B760D" w14:textId="77777777">
        <w:trPr>
          <w:jc w:val="center"/>
        </w:trPr>
        <w:tc>
          <w:tcPr>
            <w:tcW w:w="2232" w:type="dxa"/>
            <w:shd w:val="clear" w:color="auto" w:fill="D9EAF7"/>
            <w:vAlign w:val="center"/>
          </w:tcPr>
          <w:p w14:paraId="1E5B317B" w14:textId="77777777" w:rsidR="00BA1CF9" w:rsidRDefault="00000000">
            <w:pPr>
              <w:rPr>
                <w:rFonts w:hint="eastAsia"/>
              </w:rPr>
            </w:pPr>
            <w:r>
              <w:rPr>
                <w:b/>
                <w:sz w:val="17"/>
              </w:rPr>
              <w:t>Feature</w:t>
            </w:r>
          </w:p>
        </w:tc>
        <w:tc>
          <w:tcPr>
            <w:tcW w:w="4032" w:type="dxa"/>
            <w:shd w:val="clear" w:color="auto" w:fill="D9EAF7"/>
            <w:vAlign w:val="center"/>
          </w:tcPr>
          <w:p w14:paraId="2B860F61" w14:textId="77777777" w:rsidR="00BA1CF9" w:rsidRDefault="00000000">
            <w:pPr>
              <w:rPr>
                <w:rFonts w:hint="eastAsia"/>
              </w:rPr>
            </w:pPr>
            <w:r>
              <w:rPr>
                <w:b/>
                <w:sz w:val="17"/>
              </w:rPr>
              <w:t>Definition</w:t>
            </w:r>
          </w:p>
        </w:tc>
        <w:tc>
          <w:tcPr>
            <w:tcW w:w="3816" w:type="dxa"/>
            <w:shd w:val="clear" w:color="auto" w:fill="D9EAF7"/>
            <w:vAlign w:val="center"/>
          </w:tcPr>
          <w:p w14:paraId="5108D1F5" w14:textId="77777777" w:rsidR="00BA1CF9" w:rsidRDefault="00000000">
            <w:pPr>
              <w:rPr>
                <w:rFonts w:hint="eastAsia"/>
              </w:rPr>
            </w:pPr>
            <w:r>
              <w:rPr>
                <w:b/>
                <w:sz w:val="17"/>
              </w:rPr>
              <w:t>Reason</w:t>
            </w:r>
          </w:p>
        </w:tc>
      </w:tr>
      <w:tr w:rsidR="00BA1CF9" w14:paraId="676075AA" w14:textId="77777777">
        <w:trPr>
          <w:jc w:val="center"/>
        </w:trPr>
        <w:tc>
          <w:tcPr>
            <w:tcW w:w="2232" w:type="dxa"/>
            <w:vAlign w:val="center"/>
          </w:tcPr>
          <w:p w14:paraId="679CA697" w14:textId="77777777" w:rsidR="00BA1CF9" w:rsidRDefault="00000000">
            <w:pPr>
              <w:rPr>
                <w:rFonts w:hint="eastAsia"/>
              </w:rPr>
            </w:pPr>
            <w:r>
              <w:rPr>
                <w:sz w:val="17"/>
              </w:rPr>
              <w:t>age_is_995</w:t>
            </w:r>
          </w:p>
        </w:tc>
        <w:tc>
          <w:tcPr>
            <w:tcW w:w="4032" w:type="dxa"/>
            <w:vAlign w:val="center"/>
          </w:tcPr>
          <w:p w14:paraId="7FAFCED6" w14:textId="77777777" w:rsidR="00BA1CF9" w:rsidRDefault="00000000">
            <w:pPr>
              <w:rPr>
                <w:rFonts w:hint="eastAsia"/>
              </w:rPr>
            </w:pPr>
            <w:r>
              <w:rPr>
                <w:sz w:val="17"/>
              </w:rPr>
              <w:t>1 when age = 995; 0 otherwise</w:t>
            </w:r>
          </w:p>
        </w:tc>
        <w:tc>
          <w:tcPr>
            <w:tcW w:w="3816" w:type="dxa"/>
            <w:vAlign w:val="center"/>
          </w:tcPr>
          <w:p w14:paraId="169EDBBC" w14:textId="77777777" w:rsidR="00BA1CF9" w:rsidRDefault="00000000">
            <w:pPr>
              <w:rPr>
                <w:rFonts w:hint="eastAsia"/>
              </w:rPr>
            </w:pPr>
            <w:r>
              <w:rPr>
                <w:sz w:val="17"/>
              </w:rPr>
              <w:t>Preserves the information carried by the special high-age code.</w:t>
            </w:r>
          </w:p>
        </w:tc>
      </w:tr>
      <w:tr w:rsidR="00BA1CF9" w14:paraId="0030AE2B" w14:textId="77777777">
        <w:trPr>
          <w:jc w:val="center"/>
        </w:trPr>
        <w:tc>
          <w:tcPr>
            <w:tcW w:w="2232" w:type="dxa"/>
            <w:vAlign w:val="center"/>
          </w:tcPr>
          <w:p w14:paraId="7A8EE7B3" w14:textId="77777777" w:rsidR="00BA1CF9" w:rsidRDefault="00000000">
            <w:pPr>
              <w:rPr>
                <w:rFonts w:hint="eastAsia"/>
              </w:rPr>
            </w:pPr>
            <w:r>
              <w:rPr>
                <w:sz w:val="17"/>
              </w:rPr>
              <w:t>age_capped_100</w:t>
            </w:r>
          </w:p>
        </w:tc>
        <w:tc>
          <w:tcPr>
            <w:tcW w:w="4032" w:type="dxa"/>
            <w:vAlign w:val="center"/>
          </w:tcPr>
          <w:p w14:paraId="575BC246" w14:textId="77777777" w:rsidR="00BA1CF9" w:rsidRDefault="00000000">
            <w:pPr>
              <w:rPr>
                <w:rFonts w:hint="eastAsia"/>
              </w:rPr>
            </w:pPr>
            <w:r>
              <w:rPr>
                <w:sz w:val="17"/>
              </w:rPr>
              <w:t>min(age, 100)</w:t>
            </w:r>
          </w:p>
        </w:tc>
        <w:tc>
          <w:tcPr>
            <w:tcW w:w="3816" w:type="dxa"/>
            <w:vAlign w:val="center"/>
          </w:tcPr>
          <w:p w14:paraId="7638E832" w14:textId="77777777" w:rsidR="00BA1CF9" w:rsidRDefault="00000000">
            <w:pPr>
              <w:rPr>
                <w:rFonts w:hint="eastAsia"/>
              </w:rPr>
            </w:pPr>
            <w:r>
              <w:rPr>
                <w:sz w:val="17"/>
              </w:rPr>
              <w:t xml:space="preserve">Creates a robust age copy with reduced </w:t>
            </w:r>
            <w:r>
              <w:rPr>
                <w:sz w:val="17"/>
              </w:rPr>
              <w:lastRenderedPageBreak/>
              <w:t>influence from the 995 code and other high values.</w:t>
            </w:r>
          </w:p>
        </w:tc>
      </w:tr>
      <w:tr w:rsidR="00BA1CF9" w14:paraId="57EE3E6C" w14:textId="77777777">
        <w:trPr>
          <w:jc w:val="center"/>
        </w:trPr>
        <w:tc>
          <w:tcPr>
            <w:tcW w:w="2232" w:type="dxa"/>
            <w:vAlign w:val="center"/>
          </w:tcPr>
          <w:p w14:paraId="66965F97" w14:textId="77777777" w:rsidR="00BA1CF9" w:rsidRDefault="00000000">
            <w:pPr>
              <w:rPr>
                <w:rFonts w:hint="eastAsia"/>
              </w:rPr>
            </w:pPr>
            <w:r>
              <w:rPr>
                <w:sz w:val="17"/>
              </w:rPr>
              <w:lastRenderedPageBreak/>
              <w:t>material_count</w:t>
            </w:r>
          </w:p>
        </w:tc>
        <w:tc>
          <w:tcPr>
            <w:tcW w:w="4032" w:type="dxa"/>
            <w:vAlign w:val="center"/>
          </w:tcPr>
          <w:p w14:paraId="31DE17FF" w14:textId="77777777" w:rsidR="00BA1CF9" w:rsidRDefault="00000000">
            <w:pPr>
              <w:rPr>
                <w:rFonts w:hint="eastAsia"/>
              </w:rPr>
            </w:pPr>
            <w:r>
              <w:rPr>
                <w:sz w:val="17"/>
              </w:rPr>
              <w:t>Row-wise sum of available has_superstructure_* indicators</w:t>
            </w:r>
          </w:p>
        </w:tc>
        <w:tc>
          <w:tcPr>
            <w:tcW w:w="3816" w:type="dxa"/>
            <w:vAlign w:val="center"/>
          </w:tcPr>
          <w:p w14:paraId="304B6854" w14:textId="77777777" w:rsidR="00BA1CF9" w:rsidRDefault="00000000">
            <w:pPr>
              <w:rPr>
                <w:rFonts w:hint="eastAsia"/>
              </w:rPr>
            </w:pPr>
            <w:r>
              <w:rPr>
                <w:sz w:val="17"/>
              </w:rPr>
              <w:t>Represents structural-material combination complexity.</w:t>
            </w:r>
          </w:p>
        </w:tc>
      </w:tr>
      <w:tr w:rsidR="00BA1CF9" w14:paraId="1C4112F5" w14:textId="77777777">
        <w:trPr>
          <w:jc w:val="center"/>
        </w:trPr>
        <w:tc>
          <w:tcPr>
            <w:tcW w:w="2232" w:type="dxa"/>
            <w:vAlign w:val="center"/>
          </w:tcPr>
          <w:p w14:paraId="69DDA241" w14:textId="77777777" w:rsidR="00BA1CF9" w:rsidRDefault="00000000">
            <w:pPr>
              <w:rPr>
                <w:rFonts w:hint="eastAsia"/>
              </w:rPr>
            </w:pPr>
            <w:r>
              <w:rPr>
                <w:sz w:val="17"/>
              </w:rPr>
              <w:t>height_per_floor</w:t>
            </w:r>
          </w:p>
        </w:tc>
        <w:tc>
          <w:tcPr>
            <w:tcW w:w="4032" w:type="dxa"/>
            <w:vAlign w:val="center"/>
          </w:tcPr>
          <w:p w14:paraId="76A67C77" w14:textId="77777777" w:rsidR="00BA1CF9" w:rsidRDefault="00000000">
            <w:pPr>
              <w:rPr>
                <w:rFonts w:hint="eastAsia"/>
              </w:rPr>
            </w:pPr>
            <w:r>
              <w:rPr>
                <w:sz w:val="17"/>
              </w:rPr>
              <w:t>height_percentage / count_floors_pre_eq</w:t>
            </w:r>
          </w:p>
        </w:tc>
        <w:tc>
          <w:tcPr>
            <w:tcW w:w="3816" w:type="dxa"/>
            <w:vAlign w:val="center"/>
          </w:tcPr>
          <w:p w14:paraId="6C01CDCD" w14:textId="77777777" w:rsidR="00BA1CF9" w:rsidRDefault="00000000">
            <w:pPr>
              <w:rPr>
                <w:rFonts w:hint="eastAsia"/>
              </w:rPr>
            </w:pPr>
            <w:r>
              <w:rPr>
                <w:sz w:val="17"/>
              </w:rPr>
              <w:t>Controls height for the number of floors.</w:t>
            </w:r>
          </w:p>
        </w:tc>
      </w:tr>
      <w:tr w:rsidR="00BA1CF9" w14:paraId="165DDAEE" w14:textId="77777777">
        <w:trPr>
          <w:jc w:val="center"/>
        </w:trPr>
        <w:tc>
          <w:tcPr>
            <w:tcW w:w="2232" w:type="dxa"/>
            <w:vAlign w:val="center"/>
          </w:tcPr>
          <w:p w14:paraId="0781009F" w14:textId="77777777" w:rsidR="00BA1CF9" w:rsidRDefault="00000000">
            <w:pPr>
              <w:rPr>
                <w:rFonts w:hint="eastAsia"/>
              </w:rPr>
            </w:pPr>
            <w:r>
              <w:rPr>
                <w:sz w:val="17"/>
              </w:rPr>
              <w:t>families_per_floor</w:t>
            </w:r>
          </w:p>
        </w:tc>
        <w:tc>
          <w:tcPr>
            <w:tcW w:w="4032" w:type="dxa"/>
            <w:vAlign w:val="center"/>
          </w:tcPr>
          <w:p w14:paraId="7B018F67" w14:textId="77777777" w:rsidR="00BA1CF9" w:rsidRDefault="00000000">
            <w:pPr>
              <w:rPr>
                <w:rFonts w:hint="eastAsia"/>
              </w:rPr>
            </w:pPr>
            <w:r>
              <w:rPr>
                <w:sz w:val="17"/>
              </w:rPr>
              <w:t>count_families / count_floors_pre_eq</w:t>
            </w:r>
          </w:p>
        </w:tc>
        <w:tc>
          <w:tcPr>
            <w:tcW w:w="3816" w:type="dxa"/>
            <w:vAlign w:val="center"/>
          </w:tcPr>
          <w:p w14:paraId="05E752BD" w14:textId="77777777" w:rsidR="00BA1CF9" w:rsidRDefault="00000000">
            <w:pPr>
              <w:rPr>
                <w:rFonts w:hint="eastAsia"/>
              </w:rPr>
            </w:pPr>
            <w:r>
              <w:rPr>
                <w:sz w:val="17"/>
              </w:rPr>
              <w:t>Simple occupancy-density proxy.</w:t>
            </w:r>
          </w:p>
        </w:tc>
      </w:tr>
      <w:tr w:rsidR="00BA1CF9" w14:paraId="3A027568" w14:textId="77777777">
        <w:trPr>
          <w:jc w:val="center"/>
        </w:trPr>
        <w:tc>
          <w:tcPr>
            <w:tcW w:w="2232" w:type="dxa"/>
            <w:vAlign w:val="center"/>
          </w:tcPr>
          <w:p w14:paraId="29A48DC4" w14:textId="77777777" w:rsidR="00BA1CF9" w:rsidRDefault="00000000">
            <w:pPr>
              <w:rPr>
                <w:rFonts w:hint="eastAsia"/>
              </w:rPr>
            </w:pPr>
            <w:r>
              <w:rPr>
                <w:sz w:val="17"/>
              </w:rPr>
              <w:t>has_reinforced_concrete</w:t>
            </w:r>
          </w:p>
        </w:tc>
        <w:tc>
          <w:tcPr>
            <w:tcW w:w="4032" w:type="dxa"/>
            <w:vAlign w:val="center"/>
          </w:tcPr>
          <w:p w14:paraId="28DF5F9D" w14:textId="77777777" w:rsidR="00BA1CF9" w:rsidRDefault="00000000">
            <w:pPr>
              <w:rPr>
                <w:rFonts w:hint="eastAsia"/>
              </w:rPr>
            </w:pPr>
            <w:r>
              <w:rPr>
                <w:sz w:val="17"/>
              </w:rPr>
              <w:t>1 when either RC indicator is present</w:t>
            </w:r>
          </w:p>
        </w:tc>
        <w:tc>
          <w:tcPr>
            <w:tcW w:w="3816" w:type="dxa"/>
            <w:vAlign w:val="center"/>
          </w:tcPr>
          <w:p w14:paraId="1C63C17C" w14:textId="77777777" w:rsidR="00BA1CF9" w:rsidRDefault="00000000">
            <w:pPr>
              <w:rPr>
                <w:rFonts w:hint="eastAsia"/>
              </w:rPr>
            </w:pPr>
            <w:r>
              <w:rPr>
                <w:sz w:val="17"/>
              </w:rPr>
              <w:t>Broad reinforced-concrete indicator.</w:t>
            </w:r>
          </w:p>
        </w:tc>
      </w:tr>
      <w:tr w:rsidR="00BA1CF9" w14:paraId="74147552" w14:textId="77777777">
        <w:trPr>
          <w:jc w:val="center"/>
        </w:trPr>
        <w:tc>
          <w:tcPr>
            <w:tcW w:w="2232" w:type="dxa"/>
            <w:vAlign w:val="center"/>
          </w:tcPr>
          <w:p w14:paraId="0B5EFBF0" w14:textId="77777777" w:rsidR="00BA1CF9" w:rsidRDefault="00000000">
            <w:pPr>
              <w:rPr>
                <w:rFonts w:hint="eastAsia"/>
              </w:rPr>
            </w:pPr>
            <w:r>
              <w:rPr>
                <w:sz w:val="17"/>
              </w:rPr>
              <w:t>secondary_use_count</w:t>
            </w:r>
          </w:p>
        </w:tc>
        <w:tc>
          <w:tcPr>
            <w:tcW w:w="4032" w:type="dxa"/>
            <w:vAlign w:val="center"/>
          </w:tcPr>
          <w:p w14:paraId="55F3E1E8" w14:textId="77777777" w:rsidR="00BA1CF9" w:rsidRDefault="00000000">
            <w:pPr>
              <w:rPr>
                <w:rFonts w:hint="eastAsia"/>
              </w:rPr>
            </w:pPr>
            <w:r>
              <w:rPr>
                <w:sz w:val="17"/>
              </w:rPr>
              <w:t>Sum of 10 detailed secondary-use indicators</w:t>
            </w:r>
          </w:p>
        </w:tc>
        <w:tc>
          <w:tcPr>
            <w:tcW w:w="3816" w:type="dxa"/>
            <w:vAlign w:val="center"/>
          </w:tcPr>
          <w:p w14:paraId="082E5235" w14:textId="77777777" w:rsidR="00BA1CF9" w:rsidRDefault="00000000">
            <w:pPr>
              <w:rPr>
                <w:rFonts w:hint="eastAsia"/>
              </w:rPr>
            </w:pPr>
            <w:r>
              <w:rPr>
                <w:sz w:val="17"/>
              </w:rPr>
              <w:t>Distinguishes buildings with no, one, or multiple secondary uses.</w:t>
            </w:r>
          </w:p>
        </w:tc>
      </w:tr>
      <w:tr w:rsidR="00BA1CF9" w14:paraId="7E46CE9E" w14:textId="77777777">
        <w:trPr>
          <w:jc w:val="center"/>
        </w:trPr>
        <w:tc>
          <w:tcPr>
            <w:tcW w:w="2232" w:type="dxa"/>
            <w:vAlign w:val="center"/>
          </w:tcPr>
          <w:p w14:paraId="4FE5C239" w14:textId="77777777" w:rsidR="00BA1CF9" w:rsidRDefault="00000000">
            <w:pPr>
              <w:rPr>
                <w:rFonts w:hint="eastAsia"/>
              </w:rPr>
            </w:pPr>
            <w:r>
              <w:rPr>
                <w:sz w:val="17"/>
              </w:rPr>
              <w:t>area_per_family</w:t>
            </w:r>
          </w:p>
        </w:tc>
        <w:tc>
          <w:tcPr>
            <w:tcW w:w="4032" w:type="dxa"/>
            <w:vAlign w:val="center"/>
          </w:tcPr>
          <w:p w14:paraId="3C58F33A" w14:textId="77777777" w:rsidR="00BA1CF9" w:rsidRDefault="00000000">
            <w:pPr>
              <w:rPr>
                <w:rFonts w:hint="eastAsia"/>
              </w:rPr>
            </w:pPr>
            <w:r>
              <w:rPr>
                <w:sz w:val="17"/>
              </w:rPr>
              <w:t>area_percentage / count_families; 0 when count_families = 0</w:t>
            </w:r>
          </w:p>
        </w:tc>
        <w:tc>
          <w:tcPr>
            <w:tcW w:w="3816" w:type="dxa"/>
            <w:vAlign w:val="center"/>
          </w:tcPr>
          <w:p w14:paraId="3B77CED6" w14:textId="77777777" w:rsidR="00BA1CF9" w:rsidRDefault="00000000">
            <w:pPr>
              <w:rPr>
                <w:rFonts w:hint="eastAsia"/>
              </w:rPr>
            </w:pPr>
            <w:r>
              <w:rPr>
                <w:sz w:val="17"/>
              </w:rPr>
              <w:t>Simple space-per-family proxy with finite values for zero-family buildings.</w:t>
            </w:r>
          </w:p>
        </w:tc>
      </w:tr>
      <w:tr w:rsidR="00BA1CF9" w14:paraId="26708E6C" w14:textId="77777777">
        <w:trPr>
          <w:jc w:val="center"/>
        </w:trPr>
        <w:tc>
          <w:tcPr>
            <w:tcW w:w="2232" w:type="dxa"/>
            <w:vAlign w:val="center"/>
          </w:tcPr>
          <w:p w14:paraId="7D716C4B" w14:textId="77777777" w:rsidR="00BA1CF9" w:rsidRDefault="00000000">
            <w:pPr>
              <w:rPr>
                <w:rFonts w:hint="eastAsia"/>
              </w:rPr>
            </w:pPr>
            <w:r>
              <w:rPr>
                <w:sz w:val="17"/>
              </w:rPr>
              <w:t>rc_category</w:t>
            </w:r>
          </w:p>
        </w:tc>
        <w:tc>
          <w:tcPr>
            <w:tcW w:w="4032" w:type="dxa"/>
            <w:vAlign w:val="center"/>
          </w:tcPr>
          <w:p w14:paraId="035484D7" w14:textId="77777777" w:rsidR="00BA1CF9" w:rsidRDefault="00000000">
            <w:pPr>
              <w:rPr>
                <w:rFonts w:hint="eastAsia"/>
              </w:rPr>
            </w:pPr>
            <w:r>
              <w:rPr>
                <w:sz w:val="17"/>
              </w:rPr>
              <w:t>no_rc / non_engineered_rc / engineered_rc / mixed_rc</w:t>
            </w:r>
          </w:p>
        </w:tc>
        <w:tc>
          <w:tcPr>
            <w:tcW w:w="3816" w:type="dxa"/>
            <w:vAlign w:val="center"/>
          </w:tcPr>
          <w:p w14:paraId="5C78EEDD" w14:textId="77777777" w:rsidR="00BA1CF9" w:rsidRDefault="00000000">
            <w:pPr>
              <w:rPr>
                <w:rFonts w:hint="eastAsia"/>
              </w:rPr>
            </w:pPr>
            <w:r>
              <w:rPr>
                <w:sz w:val="17"/>
              </w:rPr>
              <w:t>Retains the important distinction between engineered and non-engineered RC.</w:t>
            </w:r>
          </w:p>
        </w:tc>
      </w:tr>
      <w:tr w:rsidR="00BA1CF9" w14:paraId="2FBBDD43" w14:textId="77777777">
        <w:trPr>
          <w:jc w:val="center"/>
        </w:trPr>
        <w:tc>
          <w:tcPr>
            <w:tcW w:w="2232" w:type="dxa"/>
            <w:vAlign w:val="center"/>
          </w:tcPr>
          <w:p w14:paraId="4714928F" w14:textId="77777777" w:rsidR="00BA1CF9" w:rsidRDefault="00000000">
            <w:pPr>
              <w:rPr>
                <w:rFonts w:hint="eastAsia"/>
              </w:rPr>
            </w:pPr>
            <w:r>
              <w:rPr>
                <w:sz w:val="17"/>
              </w:rPr>
              <w:t>age_group</w:t>
            </w:r>
          </w:p>
        </w:tc>
        <w:tc>
          <w:tcPr>
            <w:tcW w:w="4032" w:type="dxa"/>
            <w:vAlign w:val="center"/>
          </w:tcPr>
          <w:p w14:paraId="7B47632B" w14:textId="77777777" w:rsidR="00BA1CF9" w:rsidRDefault="00000000">
            <w:pPr>
              <w:rPr>
                <w:rFonts w:hint="eastAsia"/>
              </w:rPr>
            </w:pPr>
            <w:r>
              <w:rPr>
                <w:sz w:val="17"/>
              </w:rPr>
              <w:t>0-10, 11-20, 21-40, 41-60, 61-100, 100+, 995_special</w:t>
            </w:r>
          </w:p>
        </w:tc>
        <w:tc>
          <w:tcPr>
            <w:tcW w:w="3816" w:type="dxa"/>
            <w:vAlign w:val="center"/>
          </w:tcPr>
          <w:p w14:paraId="7CB4660C" w14:textId="77777777" w:rsidR="00BA1CF9" w:rsidRDefault="00000000">
            <w:pPr>
              <w:rPr>
                <w:rFonts w:hint="eastAsia"/>
              </w:rPr>
            </w:pPr>
            <w:r>
              <w:rPr>
                <w:sz w:val="17"/>
              </w:rPr>
              <w:t>Captures nonlinear age effects and isolates the special age code.</w:t>
            </w:r>
          </w:p>
        </w:tc>
      </w:tr>
    </w:tbl>
    <w:p w14:paraId="55241367" w14:textId="77777777" w:rsidR="00BA1CF9" w:rsidRDefault="00BA1CF9">
      <w:pPr>
        <w:rPr>
          <w:rFonts w:hint="eastAsia"/>
        </w:rPr>
      </w:pPr>
    </w:p>
    <w:p w14:paraId="64093BDE" w14:textId="77777777" w:rsidR="00BA1CF9" w:rsidRDefault="00000000">
      <w:pPr>
        <w:spacing w:after="100"/>
        <w:rPr>
          <w:rFonts w:hint="eastAsia"/>
        </w:rPr>
      </w:pPr>
      <w:r>
        <w:t>Implementation note: the initial written report described material_count as the sum of 10 superstructure flags. The project schema contains 11 has_superstructure_* indicators, including has_superstructure_other. The consolidated definition above follows the implemented row-wise sum of all available superstructure indicators.</w:t>
      </w:r>
    </w:p>
    <w:tbl>
      <w:tblPr>
        <w:tblStyle w:val="aff1"/>
        <w:tblW w:w="0" w:type="auto"/>
        <w:jc w:val="center"/>
        <w:tblLook w:val="04A0" w:firstRow="1" w:lastRow="0" w:firstColumn="1" w:lastColumn="0" w:noHBand="0" w:noVBand="1"/>
      </w:tblPr>
      <w:tblGrid>
        <w:gridCol w:w="2520"/>
        <w:gridCol w:w="7560"/>
      </w:tblGrid>
      <w:tr w:rsidR="00BA1CF9" w14:paraId="55A94C51" w14:textId="77777777">
        <w:trPr>
          <w:jc w:val="center"/>
        </w:trPr>
        <w:tc>
          <w:tcPr>
            <w:tcW w:w="2520" w:type="dxa"/>
            <w:shd w:val="clear" w:color="auto" w:fill="D9EAF7"/>
            <w:vAlign w:val="center"/>
          </w:tcPr>
          <w:p w14:paraId="514AB19A" w14:textId="77777777" w:rsidR="00BA1CF9" w:rsidRDefault="00000000">
            <w:pPr>
              <w:rPr>
                <w:rFonts w:hint="eastAsia"/>
              </w:rPr>
            </w:pPr>
            <w:r>
              <w:rPr>
                <w:b/>
                <w:sz w:val="17"/>
              </w:rPr>
              <w:t>Supplementary feature</w:t>
            </w:r>
          </w:p>
        </w:tc>
        <w:tc>
          <w:tcPr>
            <w:tcW w:w="7560" w:type="dxa"/>
            <w:shd w:val="clear" w:color="auto" w:fill="D9EAF7"/>
            <w:vAlign w:val="center"/>
          </w:tcPr>
          <w:p w14:paraId="398C47BF" w14:textId="77777777" w:rsidR="00BA1CF9" w:rsidRDefault="00000000">
            <w:pPr>
              <w:rPr>
                <w:rFonts w:hint="eastAsia"/>
              </w:rPr>
            </w:pPr>
            <w:r>
              <w:rPr>
                <w:b/>
                <w:sz w:val="17"/>
              </w:rPr>
              <w:t>Observed training-data summary</w:t>
            </w:r>
          </w:p>
        </w:tc>
      </w:tr>
      <w:tr w:rsidR="00BA1CF9" w14:paraId="17C8B6A2" w14:textId="77777777">
        <w:trPr>
          <w:jc w:val="center"/>
        </w:trPr>
        <w:tc>
          <w:tcPr>
            <w:tcW w:w="2520" w:type="dxa"/>
            <w:vAlign w:val="center"/>
          </w:tcPr>
          <w:p w14:paraId="5AE1A8C6" w14:textId="77777777" w:rsidR="00BA1CF9" w:rsidRDefault="00000000">
            <w:pPr>
              <w:rPr>
                <w:rFonts w:hint="eastAsia"/>
              </w:rPr>
            </w:pPr>
            <w:r>
              <w:rPr>
                <w:sz w:val="17"/>
              </w:rPr>
              <w:t>secondary_use_count</w:t>
            </w:r>
          </w:p>
        </w:tc>
        <w:tc>
          <w:tcPr>
            <w:tcW w:w="7560" w:type="dxa"/>
            <w:vAlign w:val="center"/>
          </w:tcPr>
          <w:p w14:paraId="1E149C9B" w14:textId="77777777" w:rsidR="00BA1CF9" w:rsidRDefault="00000000">
            <w:pPr>
              <w:rPr>
                <w:rFonts w:hint="eastAsia"/>
              </w:rPr>
            </w:pPr>
            <w:r>
              <w:rPr>
                <w:sz w:val="17"/>
              </w:rPr>
              <w:t>0 uses: 231,445; 1 use: 28,599; 2 uses: 557.</w:t>
            </w:r>
          </w:p>
        </w:tc>
      </w:tr>
      <w:tr w:rsidR="00BA1CF9" w14:paraId="27ACE298" w14:textId="77777777">
        <w:trPr>
          <w:jc w:val="center"/>
        </w:trPr>
        <w:tc>
          <w:tcPr>
            <w:tcW w:w="2520" w:type="dxa"/>
            <w:vAlign w:val="center"/>
          </w:tcPr>
          <w:p w14:paraId="0A1333E8" w14:textId="77777777" w:rsidR="00BA1CF9" w:rsidRDefault="00000000">
            <w:pPr>
              <w:rPr>
                <w:rFonts w:hint="eastAsia"/>
              </w:rPr>
            </w:pPr>
            <w:r>
              <w:rPr>
                <w:sz w:val="17"/>
              </w:rPr>
              <w:t>area_per_family</w:t>
            </w:r>
          </w:p>
        </w:tc>
        <w:tc>
          <w:tcPr>
            <w:tcW w:w="7560" w:type="dxa"/>
            <w:vAlign w:val="center"/>
          </w:tcPr>
          <w:p w14:paraId="1DBAF099" w14:textId="77777777" w:rsidR="00BA1CF9" w:rsidRDefault="00000000">
            <w:pPr>
              <w:rPr>
                <w:rFonts w:hint="eastAsia"/>
              </w:rPr>
            </w:pPr>
            <w:r>
              <w:rPr>
                <w:sz w:val="17"/>
              </w:rPr>
              <w:t>8.01% of buildings have count_families = 0 and therefore receive area_per_family = 0. Median area_per_family is 7.0.</w:t>
            </w:r>
          </w:p>
        </w:tc>
      </w:tr>
      <w:tr w:rsidR="00BA1CF9" w14:paraId="26FF5858" w14:textId="77777777">
        <w:trPr>
          <w:jc w:val="center"/>
        </w:trPr>
        <w:tc>
          <w:tcPr>
            <w:tcW w:w="2520" w:type="dxa"/>
            <w:vAlign w:val="center"/>
          </w:tcPr>
          <w:p w14:paraId="2E7D9FDC" w14:textId="77777777" w:rsidR="00BA1CF9" w:rsidRDefault="00000000">
            <w:pPr>
              <w:rPr>
                <w:rFonts w:hint="eastAsia"/>
              </w:rPr>
            </w:pPr>
            <w:r>
              <w:rPr>
                <w:sz w:val="17"/>
              </w:rPr>
              <w:t>rc_category</w:t>
            </w:r>
          </w:p>
        </w:tc>
        <w:tc>
          <w:tcPr>
            <w:tcW w:w="7560" w:type="dxa"/>
            <w:vAlign w:val="center"/>
          </w:tcPr>
          <w:p w14:paraId="246A8F11" w14:textId="77777777" w:rsidR="00BA1CF9" w:rsidRDefault="00000000">
            <w:pPr>
              <w:rPr>
                <w:rFonts w:hint="eastAsia"/>
              </w:rPr>
            </w:pPr>
            <w:r>
              <w:rPr>
                <w:sz w:val="17"/>
              </w:rPr>
              <w:t>no_rc: 245,464; non_engineered_rc: 11,004; engineered_rc: 4,038; mixed_rc: 95.</w:t>
            </w:r>
          </w:p>
        </w:tc>
      </w:tr>
      <w:tr w:rsidR="00BA1CF9" w14:paraId="075246DB" w14:textId="77777777">
        <w:trPr>
          <w:jc w:val="center"/>
        </w:trPr>
        <w:tc>
          <w:tcPr>
            <w:tcW w:w="2520" w:type="dxa"/>
            <w:vAlign w:val="center"/>
          </w:tcPr>
          <w:p w14:paraId="2CECE14A" w14:textId="77777777" w:rsidR="00BA1CF9" w:rsidRDefault="00000000">
            <w:pPr>
              <w:rPr>
                <w:rFonts w:hint="eastAsia"/>
              </w:rPr>
            </w:pPr>
            <w:r>
              <w:rPr>
                <w:sz w:val="17"/>
              </w:rPr>
              <w:t>age_group</w:t>
            </w:r>
          </w:p>
        </w:tc>
        <w:tc>
          <w:tcPr>
            <w:tcW w:w="7560" w:type="dxa"/>
            <w:vAlign w:val="center"/>
          </w:tcPr>
          <w:p w14:paraId="168BAC00" w14:textId="77777777" w:rsidR="00BA1CF9" w:rsidRDefault="00000000">
            <w:pPr>
              <w:rPr>
                <w:rFonts w:hint="eastAsia"/>
              </w:rPr>
            </w:pPr>
            <w:r>
              <w:rPr>
                <w:sz w:val="17"/>
              </w:rPr>
              <w:t>995_special contains 1,390 buildings (0.53%). Ordinary age &gt;100 excluding 995 contains 734 buildings.</w:t>
            </w:r>
          </w:p>
        </w:tc>
      </w:tr>
    </w:tbl>
    <w:p w14:paraId="7A7504A4" w14:textId="77777777" w:rsidR="00BA1CF9" w:rsidRDefault="00BA1CF9">
      <w:pPr>
        <w:rPr>
          <w:rFonts w:hint="eastAsia"/>
        </w:rPr>
      </w:pPr>
    </w:p>
    <w:p w14:paraId="763FF38C" w14:textId="77777777" w:rsidR="00BA1CF9" w:rsidRDefault="00000000">
      <w:pPr>
        <w:jc w:val="center"/>
        <w:rPr>
          <w:rFonts w:hint="eastAsia"/>
        </w:rPr>
      </w:pPr>
      <w:r>
        <w:rPr>
          <w:noProof/>
        </w:rPr>
        <w:drawing>
          <wp:inline distT="0" distB="0" distL="0" distR="0" wp14:anchorId="1E5CA66A" wp14:editId="6368E28F">
            <wp:extent cx="5852160" cy="2727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supplementary_feature_counts.png"/>
                    <pic:cNvPicPr/>
                  </pic:nvPicPr>
                  <pic:blipFill>
                    <a:blip r:embed="rId8"/>
                    <a:stretch>
                      <a:fillRect/>
                    </a:stretch>
                  </pic:blipFill>
                  <pic:spPr>
                    <a:xfrm>
                      <a:off x="0" y="0"/>
                      <a:ext cx="5852160" cy="2727063"/>
                    </a:xfrm>
                    <a:prstGeom prst="rect">
                      <a:avLst/>
                    </a:prstGeom>
                  </pic:spPr>
                </pic:pic>
              </a:graphicData>
            </a:graphic>
          </wp:inline>
        </w:drawing>
      </w:r>
    </w:p>
    <w:p w14:paraId="0E6F3853" w14:textId="77777777" w:rsidR="00BA1CF9" w:rsidRDefault="00000000">
      <w:pPr>
        <w:pStyle w:val="FigureCaption"/>
        <w:jc w:val="center"/>
        <w:rPr>
          <w:rFonts w:hint="eastAsia"/>
        </w:rPr>
      </w:pPr>
      <w:r>
        <w:t>Figure 1. Supplementary feature-engineering diagnostics: RC category frequency and refined age-group frequency.</w:t>
      </w:r>
    </w:p>
    <w:p w14:paraId="5BD0825F" w14:textId="77777777" w:rsidR="00BA1CF9" w:rsidRDefault="00000000">
      <w:pPr>
        <w:pStyle w:val="KeyFinding"/>
        <w:rPr>
          <w:rFonts w:hint="eastAsia"/>
        </w:rPr>
      </w:pPr>
      <w:r>
        <w:t>Key finding: The refined features preserve distinctions that the original broad variables hide, especially engineered versus non-engineered reinforced concrete and the special age value 995.</w:t>
      </w:r>
    </w:p>
    <w:p w14:paraId="69265585" w14:textId="77777777" w:rsidR="00BA1CF9" w:rsidRDefault="00000000">
      <w:pPr>
        <w:rPr>
          <w:rFonts w:hint="eastAsia"/>
        </w:rPr>
      </w:pPr>
      <w:r>
        <w:br w:type="page"/>
      </w:r>
    </w:p>
    <w:p w14:paraId="7EABB571" w14:textId="77777777" w:rsidR="00BA1CF9" w:rsidRDefault="00000000">
      <w:pPr>
        <w:pStyle w:val="1"/>
      </w:pPr>
      <w:r>
        <w:lastRenderedPageBreak/>
        <w:t>5. Exploratory Data Analysis and Findings</w:t>
      </w:r>
    </w:p>
    <w:p w14:paraId="1C5C9FFF" w14:textId="77777777" w:rsidR="00BA1CF9" w:rsidRDefault="00000000">
      <w:pPr>
        <w:spacing w:after="100"/>
        <w:rPr>
          <w:rFonts w:hint="eastAsia"/>
        </w:rPr>
      </w:pPr>
      <w:r>
        <w:t>The following figures reproduce and consolidate the major EDA outputs in English. All percentages are descriptive associations from the training data. They identify patterns worth modeling, while predictive value must later be confirmed on held-out data.</w:t>
      </w:r>
    </w:p>
    <w:p w14:paraId="2872BB80" w14:textId="77777777" w:rsidR="00BA1CF9" w:rsidRDefault="00000000">
      <w:pPr>
        <w:pStyle w:val="21"/>
      </w:pPr>
      <w:r>
        <w:t>5.1 Target Distribution</w:t>
      </w:r>
    </w:p>
    <w:p w14:paraId="548FEA60" w14:textId="77777777" w:rsidR="00BA1CF9" w:rsidRDefault="00000000">
      <w:pPr>
        <w:jc w:val="center"/>
        <w:rPr>
          <w:rFonts w:hint="eastAsia"/>
        </w:rPr>
      </w:pPr>
      <w:r>
        <w:rPr>
          <w:noProof/>
        </w:rPr>
        <w:drawing>
          <wp:inline distT="0" distB="0" distL="0" distR="0" wp14:anchorId="49C86EAD" wp14:editId="294ABDD0">
            <wp:extent cx="5989320" cy="3573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arget_distribution.png"/>
                    <pic:cNvPicPr/>
                  </pic:nvPicPr>
                  <pic:blipFill>
                    <a:blip r:embed="rId9"/>
                    <a:stretch>
                      <a:fillRect/>
                    </a:stretch>
                  </pic:blipFill>
                  <pic:spPr>
                    <a:xfrm>
                      <a:off x="0" y="0"/>
                      <a:ext cx="5989320" cy="3573129"/>
                    </a:xfrm>
                    <a:prstGeom prst="rect">
                      <a:avLst/>
                    </a:prstGeom>
                  </pic:spPr>
                </pic:pic>
              </a:graphicData>
            </a:graphic>
          </wp:inline>
        </w:drawing>
      </w:r>
    </w:p>
    <w:p w14:paraId="301F4CA7" w14:textId="77777777" w:rsidR="00BA1CF9" w:rsidRDefault="00000000">
      <w:pPr>
        <w:pStyle w:val="FigureCaption"/>
        <w:jc w:val="center"/>
        <w:rPr>
          <w:rFonts w:hint="eastAsia"/>
        </w:rPr>
      </w:pPr>
      <w:r>
        <w:t>Figure 2. Distribution of the three earthquake damage grades in the training data.</w:t>
      </w:r>
    </w:p>
    <w:p w14:paraId="3BCC6C19" w14:textId="77777777" w:rsidR="00BA1CF9" w:rsidRDefault="00000000">
      <w:pPr>
        <w:spacing w:after="100"/>
        <w:rPr>
          <w:rFonts w:hint="eastAsia"/>
        </w:rPr>
      </w:pPr>
      <w:r>
        <w:t>Grade 2 is the majority class with 148,259 buildings (56.89%). Grade 3 contains 87,218 buildings (33.47%), while Grade 1 contains only 25,124 buildings (9.64%).</w:t>
      </w:r>
    </w:p>
    <w:p w14:paraId="2C5BD539" w14:textId="77777777" w:rsidR="00BA1CF9" w:rsidRDefault="00000000">
      <w:pPr>
        <w:spacing w:after="100"/>
        <w:rPr>
          <w:rFonts w:hint="eastAsia"/>
        </w:rPr>
      </w:pPr>
      <w:r>
        <w:t>This imbalance is material enough to affect evaluation. A model that over-predicts Grade 2 can obtain a superficially respectable overall accuracy. For this single-label multiclass task, micro F1 is numerically equal to accuracy. The modeling stage should therefore report micro F1 together with macro F1, per-class precision/recall/F1, and a confusion matrix.</w:t>
      </w:r>
    </w:p>
    <w:p w14:paraId="5A0FB2E3" w14:textId="77777777" w:rsidR="00BA1CF9" w:rsidRDefault="00000000">
      <w:pPr>
        <w:pStyle w:val="KeyFinding"/>
        <w:rPr>
          <w:rFonts w:hint="eastAsia"/>
        </w:rPr>
      </w:pPr>
      <w:r>
        <w:t>Key finding: Evaluation must account for class imbalance; overall accuracy or micro F1 alone can hide poor performance on Grade 1 or Grade 3.</w:t>
      </w:r>
    </w:p>
    <w:p w14:paraId="274E9DBC" w14:textId="77777777" w:rsidR="00BA1CF9" w:rsidRDefault="00000000">
      <w:pPr>
        <w:pStyle w:val="21"/>
      </w:pPr>
      <w:r>
        <w:lastRenderedPageBreak/>
        <w:t>5.2 Building Age and Damage Severity</w:t>
      </w:r>
    </w:p>
    <w:p w14:paraId="0E060506" w14:textId="77777777" w:rsidR="00BA1CF9" w:rsidRDefault="00000000">
      <w:pPr>
        <w:jc w:val="center"/>
        <w:rPr>
          <w:rFonts w:hint="eastAsia"/>
        </w:rPr>
      </w:pPr>
      <w:r>
        <w:rPr>
          <w:noProof/>
        </w:rPr>
        <w:drawing>
          <wp:inline distT="0" distB="0" distL="0" distR="0" wp14:anchorId="33609BAC" wp14:editId="1C40D76C">
            <wp:extent cx="5989320" cy="42536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ge_group_damage.png"/>
                    <pic:cNvPicPr/>
                  </pic:nvPicPr>
                  <pic:blipFill>
                    <a:blip r:embed="rId10"/>
                    <a:stretch>
                      <a:fillRect/>
                    </a:stretch>
                  </pic:blipFill>
                  <pic:spPr>
                    <a:xfrm>
                      <a:off x="0" y="0"/>
                      <a:ext cx="5989320" cy="4253609"/>
                    </a:xfrm>
                    <a:prstGeom prst="rect">
                      <a:avLst/>
                    </a:prstGeom>
                  </pic:spPr>
                </pic:pic>
              </a:graphicData>
            </a:graphic>
          </wp:inline>
        </w:drawing>
      </w:r>
    </w:p>
    <w:p w14:paraId="17FB74D9" w14:textId="77777777" w:rsidR="00BA1CF9" w:rsidRDefault="00000000">
      <w:pPr>
        <w:pStyle w:val="FigureCaption"/>
        <w:jc w:val="center"/>
        <w:rPr>
          <w:rFonts w:hint="eastAsia"/>
        </w:rPr>
      </w:pPr>
      <w:r>
        <w:t>Figure 3. Damage-grade composition by building age group. The initial EDA groups age &gt;100 together, while later feature engineering isolates age = 995.</w:t>
      </w:r>
    </w:p>
    <w:p w14:paraId="24BE6F1E" w14:textId="77777777" w:rsidR="00BA1CF9" w:rsidRDefault="00000000">
      <w:pPr>
        <w:spacing w:after="100"/>
        <w:rPr>
          <w:rFonts w:hint="eastAsia"/>
        </w:rPr>
      </w:pPr>
      <w:r>
        <w:t>The observed Grade-3 share rises from 25.42% for buildings aged 0-5 years to 38.34% for ages 21-40 and 38.64% for ages 41-100. The 100+ group drops to 30.98%, which is partly explained by the special age value 995 being mixed into this bucket in the initial EDA.</w:t>
      </w:r>
    </w:p>
    <w:p w14:paraId="38B993E9" w14:textId="77777777" w:rsidR="00BA1CF9" w:rsidRDefault="00000000">
      <w:pPr>
        <w:jc w:val="center"/>
        <w:rPr>
          <w:rFonts w:hint="eastAsia"/>
        </w:rPr>
      </w:pPr>
      <w:r>
        <w:rPr>
          <w:noProof/>
        </w:rPr>
        <w:drawing>
          <wp:inline distT="0" distB="0" distL="0" distR="0" wp14:anchorId="7E951E13" wp14:editId="39AFC8EC">
            <wp:extent cx="5943600" cy="27110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age_profile.png"/>
                    <pic:cNvPicPr/>
                  </pic:nvPicPr>
                  <pic:blipFill>
                    <a:blip r:embed="rId11"/>
                    <a:stretch>
                      <a:fillRect/>
                    </a:stretch>
                  </pic:blipFill>
                  <pic:spPr>
                    <a:xfrm>
                      <a:off x="0" y="0"/>
                      <a:ext cx="5943600" cy="2711068"/>
                    </a:xfrm>
                    <a:prstGeom prst="rect">
                      <a:avLst/>
                    </a:prstGeom>
                  </pic:spPr>
                </pic:pic>
              </a:graphicData>
            </a:graphic>
          </wp:inline>
        </w:drawing>
      </w:r>
    </w:p>
    <w:p w14:paraId="426C2C75" w14:textId="77777777" w:rsidR="00BA1CF9" w:rsidRDefault="00000000">
      <w:pPr>
        <w:pStyle w:val="FigureCaption"/>
        <w:jc w:val="center"/>
        <w:rPr>
          <w:rFonts w:hint="eastAsia"/>
        </w:rPr>
      </w:pPr>
      <w:r>
        <w:t>Figure 4. Overall building-age profile. The 995 code appears 1,390 times and is handled explicitly in the engineered features.</w:t>
      </w:r>
    </w:p>
    <w:p w14:paraId="4AF2640A" w14:textId="77777777" w:rsidR="00BA1CF9" w:rsidRDefault="00000000">
      <w:pPr>
        <w:spacing w:after="100"/>
        <w:rPr>
          <w:rFonts w:hint="eastAsia"/>
        </w:rPr>
      </w:pPr>
      <w:r>
        <w:lastRenderedPageBreak/>
        <w:t>There are 1,390 records with age = 995 (0.53% of training data), plus 734 other records above 100. Instead of deleting these observations, the pipeline keeps the original age and adds age_is_995, age_capped_100, and a 995_special age group.</w:t>
      </w:r>
    </w:p>
    <w:p w14:paraId="4FF49DD0" w14:textId="77777777" w:rsidR="00BA1CF9" w:rsidRDefault="00000000">
      <w:pPr>
        <w:pStyle w:val="KeyFinding"/>
        <w:rPr>
          <w:rFonts w:hint="eastAsia"/>
        </w:rPr>
      </w:pPr>
      <w:r>
        <w:t>Key finding: Damage severity generally increases with building age across ordinary age bands, and the 995 code requires separate treatment to avoid distorting the high-age group.</w:t>
      </w:r>
    </w:p>
    <w:p w14:paraId="765707A8" w14:textId="77777777" w:rsidR="00BA1CF9" w:rsidRDefault="00000000">
      <w:pPr>
        <w:pStyle w:val="21"/>
      </w:pPr>
      <w:r>
        <w:t>5.3 Foundation Type</w:t>
      </w:r>
    </w:p>
    <w:p w14:paraId="03CDA2BC" w14:textId="77777777" w:rsidR="00BA1CF9" w:rsidRDefault="00000000">
      <w:pPr>
        <w:jc w:val="center"/>
        <w:rPr>
          <w:rFonts w:hint="eastAsia"/>
        </w:rPr>
      </w:pPr>
      <w:r>
        <w:rPr>
          <w:noProof/>
        </w:rPr>
        <w:drawing>
          <wp:inline distT="0" distB="0" distL="0" distR="0" wp14:anchorId="27BBCFB1" wp14:editId="6B1B777D">
            <wp:extent cx="5989320" cy="43905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foundation_damage.png"/>
                    <pic:cNvPicPr/>
                  </pic:nvPicPr>
                  <pic:blipFill>
                    <a:blip r:embed="rId12"/>
                    <a:stretch>
                      <a:fillRect/>
                    </a:stretch>
                  </pic:blipFill>
                  <pic:spPr>
                    <a:xfrm>
                      <a:off x="0" y="0"/>
                      <a:ext cx="5989320" cy="4390577"/>
                    </a:xfrm>
                    <a:prstGeom prst="rect">
                      <a:avLst/>
                    </a:prstGeom>
                  </pic:spPr>
                </pic:pic>
              </a:graphicData>
            </a:graphic>
          </wp:inline>
        </w:drawing>
      </w:r>
    </w:p>
    <w:p w14:paraId="02E8AC97" w14:textId="77777777" w:rsidR="00BA1CF9" w:rsidRDefault="00000000">
      <w:pPr>
        <w:pStyle w:val="FigureCaption"/>
        <w:jc w:val="center"/>
        <w:rPr>
          <w:rFonts w:hint="eastAsia"/>
        </w:rPr>
      </w:pPr>
      <w:r>
        <w:t>Figure 5. Damage-grade composition by foundation type.</w:t>
      </w:r>
    </w:p>
    <w:tbl>
      <w:tblPr>
        <w:tblStyle w:val="aff1"/>
        <w:tblW w:w="0" w:type="auto"/>
        <w:jc w:val="center"/>
        <w:tblLook w:val="04A0" w:firstRow="1" w:lastRow="0" w:firstColumn="1" w:lastColumn="0" w:noHBand="0" w:noVBand="1"/>
      </w:tblPr>
      <w:tblGrid>
        <w:gridCol w:w="1728"/>
        <w:gridCol w:w="1800"/>
        <w:gridCol w:w="1728"/>
        <w:gridCol w:w="1728"/>
        <w:gridCol w:w="1728"/>
      </w:tblGrid>
      <w:tr w:rsidR="00BA1CF9" w14:paraId="2D9C1FA6" w14:textId="77777777">
        <w:trPr>
          <w:jc w:val="center"/>
        </w:trPr>
        <w:tc>
          <w:tcPr>
            <w:tcW w:w="1728" w:type="dxa"/>
            <w:shd w:val="clear" w:color="auto" w:fill="D9EAF7"/>
            <w:vAlign w:val="center"/>
          </w:tcPr>
          <w:p w14:paraId="3331C95D" w14:textId="77777777" w:rsidR="00BA1CF9" w:rsidRDefault="00000000">
            <w:pPr>
              <w:rPr>
                <w:rFonts w:hint="eastAsia"/>
              </w:rPr>
            </w:pPr>
            <w:r>
              <w:rPr>
                <w:b/>
                <w:sz w:val="17"/>
              </w:rPr>
              <w:t>Foundation</w:t>
            </w:r>
          </w:p>
        </w:tc>
        <w:tc>
          <w:tcPr>
            <w:tcW w:w="1800" w:type="dxa"/>
            <w:shd w:val="clear" w:color="auto" w:fill="D9EAF7"/>
            <w:vAlign w:val="center"/>
          </w:tcPr>
          <w:p w14:paraId="1806CA95" w14:textId="77777777" w:rsidR="00BA1CF9" w:rsidRDefault="00000000">
            <w:pPr>
              <w:rPr>
                <w:rFonts w:hint="eastAsia"/>
              </w:rPr>
            </w:pPr>
            <w:r>
              <w:rPr>
                <w:b/>
                <w:sz w:val="17"/>
              </w:rPr>
              <w:t>N</w:t>
            </w:r>
          </w:p>
        </w:tc>
        <w:tc>
          <w:tcPr>
            <w:tcW w:w="1728" w:type="dxa"/>
            <w:shd w:val="clear" w:color="auto" w:fill="D9EAF7"/>
            <w:vAlign w:val="center"/>
          </w:tcPr>
          <w:p w14:paraId="57967FC8" w14:textId="77777777" w:rsidR="00BA1CF9" w:rsidRDefault="00000000">
            <w:pPr>
              <w:rPr>
                <w:rFonts w:hint="eastAsia"/>
              </w:rPr>
            </w:pPr>
            <w:r>
              <w:rPr>
                <w:b/>
                <w:sz w:val="17"/>
              </w:rPr>
              <w:t>Grade 1</w:t>
            </w:r>
          </w:p>
        </w:tc>
        <w:tc>
          <w:tcPr>
            <w:tcW w:w="1728" w:type="dxa"/>
            <w:shd w:val="clear" w:color="auto" w:fill="D9EAF7"/>
            <w:vAlign w:val="center"/>
          </w:tcPr>
          <w:p w14:paraId="43B10AB3" w14:textId="77777777" w:rsidR="00BA1CF9" w:rsidRDefault="00000000">
            <w:pPr>
              <w:rPr>
                <w:rFonts w:hint="eastAsia"/>
              </w:rPr>
            </w:pPr>
            <w:r>
              <w:rPr>
                <w:b/>
                <w:sz w:val="17"/>
              </w:rPr>
              <w:t>Grade 2</w:t>
            </w:r>
          </w:p>
        </w:tc>
        <w:tc>
          <w:tcPr>
            <w:tcW w:w="1728" w:type="dxa"/>
            <w:shd w:val="clear" w:color="auto" w:fill="D9EAF7"/>
            <w:vAlign w:val="center"/>
          </w:tcPr>
          <w:p w14:paraId="79F45635" w14:textId="77777777" w:rsidR="00BA1CF9" w:rsidRDefault="00000000">
            <w:pPr>
              <w:rPr>
                <w:rFonts w:hint="eastAsia"/>
              </w:rPr>
            </w:pPr>
            <w:r>
              <w:rPr>
                <w:b/>
                <w:sz w:val="17"/>
              </w:rPr>
              <w:t>Grade 3</w:t>
            </w:r>
          </w:p>
        </w:tc>
      </w:tr>
      <w:tr w:rsidR="00BA1CF9" w14:paraId="78515A14" w14:textId="77777777">
        <w:trPr>
          <w:jc w:val="center"/>
        </w:trPr>
        <w:tc>
          <w:tcPr>
            <w:tcW w:w="1728" w:type="dxa"/>
            <w:vAlign w:val="center"/>
          </w:tcPr>
          <w:p w14:paraId="5976E876" w14:textId="77777777" w:rsidR="00BA1CF9" w:rsidRDefault="00000000">
            <w:pPr>
              <w:rPr>
                <w:rFonts w:hint="eastAsia"/>
              </w:rPr>
            </w:pPr>
            <w:r>
              <w:rPr>
                <w:sz w:val="17"/>
              </w:rPr>
              <w:t>h</w:t>
            </w:r>
          </w:p>
        </w:tc>
        <w:tc>
          <w:tcPr>
            <w:tcW w:w="1800" w:type="dxa"/>
            <w:vAlign w:val="center"/>
          </w:tcPr>
          <w:p w14:paraId="41C0E9CF" w14:textId="77777777" w:rsidR="00BA1CF9" w:rsidRDefault="00000000">
            <w:pPr>
              <w:rPr>
                <w:rFonts w:hint="eastAsia"/>
              </w:rPr>
            </w:pPr>
            <w:r>
              <w:rPr>
                <w:sz w:val="17"/>
              </w:rPr>
              <w:t>1,448</w:t>
            </w:r>
          </w:p>
        </w:tc>
        <w:tc>
          <w:tcPr>
            <w:tcW w:w="1728" w:type="dxa"/>
            <w:vAlign w:val="center"/>
          </w:tcPr>
          <w:p w14:paraId="20D6761B" w14:textId="77777777" w:rsidR="00BA1CF9" w:rsidRDefault="00000000">
            <w:pPr>
              <w:rPr>
                <w:rFonts w:hint="eastAsia"/>
              </w:rPr>
            </w:pPr>
            <w:r>
              <w:rPr>
                <w:sz w:val="17"/>
              </w:rPr>
              <w:t>24.7%</w:t>
            </w:r>
          </w:p>
        </w:tc>
        <w:tc>
          <w:tcPr>
            <w:tcW w:w="1728" w:type="dxa"/>
            <w:vAlign w:val="center"/>
          </w:tcPr>
          <w:p w14:paraId="5E7D9D5C" w14:textId="77777777" w:rsidR="00BA1CF9" w:rsidRDefault="00000000">
            <w:pPr>
              <w:rPr>
                <w:rFonts w:hint="eastAsia"/>
              </w:rPr>
            </w:pPr>
            <w:r>
              <w:rPr>
                <w:sz w:val="17"/>
              </w:rPr>
              <w:t>40.0%</w:t>
            </w:r>
          </w:p>
        </w:tc>
        <w:tc>
          <w:tcPr>
            <w:tcW w:w="1728" w:type="dxa"/>
            <w:vAlign w:val="center"/>
          </w:tcPr>
          <w:p w14:paraId="140AAB11" w14:textId="77777777" w:rsidR="00BA1CF9" w:rsidRDefault="00000000">
            <w:pPr>
              <w:rPr>
                <w:rFonts w:hint="eastAsia"/>
              </w:rPr>
            </w:pPr>
            <w:r>
              <w:rPr>
                <w:sz w:val="17"/>
              </w:rPr>
              <w:t>35.3%</w:t>
            </w:r>
          </w:p>
        </w:tc>
      </w:tr>
      <w:tr w:rsidR="00BA1CF9" w14:paraId="7C1F047F" w14:textId="77777777">
        <w:trPr>
          <w:jc w:val="center"/>
        </w:trPr>
        <w:tc>
          <w:tcPr>
            <w:tcW w:w="1728" w:type="dxa"/>
            <w:vAlign w:val="center"/>
          </w:tcPr>
          <w:p w14:paraId="63F9A63A" w14:textId="77777777" w:rsidR="00BA1CF9" w:rsidRDefault="00000000">
            <w:pPr>
              <w:rPr>
                <w:rFonts w:hint="eastAsia"/>
              </w:rPr>
            </w:pPr>
            <w:r>
              <w:rPr>
                <w:sz w:val="17"/>
              </w:rPr>
              <w:t>i</w:t>
            </w:r>
          </w:p>
        </w:tc>
        <w:tc>
          <w:tcPr>
            <w:tcW w:w="1800" w:type="dxa"/>
            <w:vAlign w:val="center"/>
          </w:tcPr>
          <w:p w14:paraId="7B6AEDBC" w14:textId="77777777" w:rsidR="00BA1CF9" w:rsidRDefault="00000000">
            <w:pPr>
              <w:rPr>
                <w:rFonts w:hint="eastAsia"/>
              </w:rPr>
            </w:pPr>
            <w:r>
              <w:rPr>
                <w:sz w:val="17"/>
              </w:rPr>
              <w:t>10,579</w:t>
            </w:r>
          </w:p>
        </w:tc>
        <w:tc>
          <w:tcPr>
            <w:tcW w:w="1728" w:type="dxa"/>
            <w:vAlign w:val="center"/>
          </w:tcPr>
          <w:p w14:paraId="502F505D" w14:textId="77777777" w:rsidR="00BA1CF9" w:rsidRDefault="00000000">
            <w:pPr>
              <w:rPr>
                <w:rFonts w:hint="eastAsia"/>
              </w:rPr>
            </w:pPr>
            <w:r>
              <w:rPr>
                <w:sz w:val="17"/>
              </w:rPr>
              <w:t>56.8%</w:t>
            </w:r>
          </w:p>
        </w:tc>
        <w:tc>
          <w:tcPr>
            <w:tcW w:w="1728" w:type="dxa"/>
            <w:vAlign w:val="center"/>
          </w:tcPr>
          <w:p w14:paraId="422ADE6B" w14:textId="77777777" w:rsidR="00BA1CF9" w:rsidRDefault="00000000">
            <w:pPr>
              <w:rPr>
                <w:rFonts w:hint="eastAsia"/>
              </w:rPr>
            </w:pPr>
            <w:r>
              <w:rPr>
                <w:sz w:val="17"/>
              </w:rPr>
              <w:t>41.2%</w:t>
            </w:r>
          </w:p>
        </w:tc>
        <w:tc>
          <w:tcPr>
            <w:tcW w:w="1728" w:type="dxa"/>
            <w:vAlign w:val="center"/>
          </w:tcPr>
          <w:p w14:paraId="01A39886" w14:textId="77777777" w:rsidR="00BA1CF9" w:rsidRDefault="00000000">
            <w:pPr>
              <w:rPr>
                <w:rFonts w:hint="eastAsia"/>
              </w:rPr>
            </w:pPr>
            <w:r>
              <w:rPr>
                <w:sz w:val="17"/>
              </w:rPr>
              <w:t>2.1%</w:t>
            </w:r>
          </w:p>
        </w:tc>
      </w:tr>
      <w:tr w:rsidR="00BA1CF9" w14:paraId="4F37A3EF" w14:textId="77777777">
        <w:trPr>
          <w:jc w:val="center"/>
        </w:trPr>
        <w:tc>
          <w:tcPr>
            <w:tcW w:w="1728" w:type="dxa"/>
            <w:vAlign w:val="center"/>
          </w:tcPr>
          <w:p w14:paraId="4CFC88B4" w14:textId="77777777" w:rsidR="00BA1CF9" w:rsidRDefault="00000000">
            <w:pPr>
              <w:rPr>
                <w:rFonts w:hint="eastAsia"/>
              </w:rPr>
            </w:pPr>
            <w:r>
              <w:rPr>
                <w:sz w:val="17"/>
              </w:rPr>
              <w:t>r</w:t>
            </w:r>
          </w:p>
        </w:tc>
        <w:tc>
          <w:tcPr>
            <w:tcW w:w="1800" w:type="dxa"/>
            <w:vAlign w:val="center"/>
          </w:tcPr>
          <w:p w14:paraId="0F153D7B" w14:textId="77777777" w:rsidR="00BA1CF9" w:rsidRDefault="00000000">
            <w:pPr>
              <w:rPr>
                <w:rFonts w:hint="eastAsia"/>
              </w:rPr>
            </w:pPr>
            <w:r>
              <w:rPr>
                <w:sz w:val="17"/>
              </w:rPr>
              <w:t>219,196</w:t>
            </w:r>
          </w:p>
        </w:tc>
        <w:tc>
          <w:tcPr>
            <w:tcW w:w="1728" w:type="dxa"/>
            <w:vAlign w:val="center"/>
          </w:tcPr>
          <w:p w14:paraId="3CE4543A" w14:textId="77777777" w:rsidR="00BA1CF9" w:rsidRDefault="00000000">
            <w:pPr>
              <w:rPr>
                <w:rFonts w:hint="eastAsia"/>
              </w:rPr>
            </w:pPr>
            <w:r>
              <w:rPr>
                <w:sz w:val="17"/>
              </w:rPr>
              <w:t>4.9%</w:t>
            </w:r>
          </w:p>
        </w:tc>
        <w:tc>
          <w:tcPr>
            <w:tcW w:w="1728" w:type="dxa"/>
            <w:vAlign w:val="center"/>
          </w:tcPr>
          <w:p w14:paraId="1E8005EC" w14:textId="77777777" w:rsidR="00BA1CF9" w:rsidRDefault="00000000">
            <w:pPr>
              <w:rPr>
                <w:rFonts w:hint="eastAsia"/>
              </w:rPr>
            </w:pPr>
            <w:r>
              <w:rPr>
                <w:sz w:val="17"/>
              </w:rPr>
              <w:t>57.3%</w:t>
            </w:r>
          </w:p>
        </w:tc>
        <w:tc>
          <w:tcPr>
            <w:tcW w:w="1728" w:type="dxa"/>
            <w:vAlign w:val="center"/>
          </w:tcPr>
          <w:p w14:paraId="306FE1D6" w14:textId="77777777" w:rsidR="00BA1CF9" w:rsidRDefault="00000000">
            <w:pPr>
              <w:rPr>
                <w:rFonts w:hint="eastAsia"/>
              </w:rPr>
            </w:pPr>
            <w:r>
              <w:rPr>
                <w:sz w:val="17"/>
              </w:rPr>
              <w:t>37.8%</w:t>
            </w:r>
          </w:p>
        </w:tc>
      </w:tr>
      <w:tr w:rsidR="00BA1CF9" w14:paraId="239E139C" w14:textId="77777777">
        <w:trPr>
          <w:jc w:val="center"/>
        </w:trPr>
        <w:tc>
          <w:tcPr>
            <w:tcW w:w="1728" w:type="dxa"/>
            <w:vAlign w:val="center"/>
          </w:tcPr>
          <w:p w14:paraId="2498F5D2" w14:textId="77777777" w:rsidR="00BA1CF9" w:rsidRDefault="00000000">
            <w:pPr>
              <w:rPr>
                <w:rFonts w:hint="eastAsia"/>
              </w:rPr>
            </w:pPr>
            <w:r>
              <w:rPr>
                <w:sz w:val="17"/>
              </w:rPr>
              <w:t>u</w:t>
            </w:r>
          </w:p>
        </w:tc>
        <w:tc>
          <w:tcPr>
            <w:tcW w:w="1800" w:type="dxa"/>
            <w:vAlign w:val="center"/>
          </w:tcPr>
          <w:p w14:paraId="1B1B45A5" w14:textId="77777777" w:rsidR="00BA1CF9" w:rsidRDefault="00000000">
            <w:pPr>
              <w:rPr>
                <w:rFonts w:hint="eastAsia"/>
              </w:rPr>
            </w:pPr>
            <w:r>
              <w:rPr>
                <w:sz w:val="17"/>
              </w:rPr>
              <w:t>14,260</w:t>
            </w:r>
          </w:p>
        </w:tc>
        <w:tc>
          <w:tcPr>
            <w:tcW w:w="1728" w:type="dxa"/>
            <w:vAlign w:val="center"/>
          </w:tcPr>
          <w:p w14:paraId="004B81F1" w14:textId="77777777" w:rsidR="00BA1CF9" w:rsidRDefault="00000000">
            <w:pPr>
              <w:rPr>
                <w:rFonts w:hint="eastAsia"/>
              </w:rPr>
            </w:pPr>
            <w:r>
              <w:rPr>
                <w:sz w:val="17"/>
              </w:rPr>
              <w:t>25.9%</w:t>
            </w:r>
          </w:p>
        </w:tc>
        <w:tc>
          <w:tcPr>
            <w:tcW w:w="1728" w:type="dxa"/>
            <w:vAlign w:val="center"/>
          </w:tcPr>
          <w:p w14:paraId="6BC4BA76" w14:textId="77777777" w:rsidR="00BA1CF9" w:rsidRDefault="00000000">
            <w:pPr>
              <w:rPr>
                <w:rFonts w:hint="eastAsia"/>
              </w:rPr>
            </w:pPr>
            <w:r>
              <w:rPr>
                <w:sz w:val="17"/>
              </w:rPr>
              <w:t>59.9%</w:t>
            </w:r>
          </w:p>
        </w:tc>
        <w:tc>
          <w:tcPr>
            <w:tcW w:w="1728" w:type="dxa"/>
            <w:vAlign w:val="center"/>
          </w:tcPr>
          <w:p w14:paraId="75323EBF" w14:textId="77777777" w:rsidR="00BA1CF9" w:rsidRDefault="00000000">
            <w:pPr>
              <w:rPr>
                <w:rFonts w:hint="eastAsia"/>
              </w:rPr>
            </w:pPr>
            <w:r>
              <w:rPr>
                <w:sz w:val="17"/>
              </w:rPr>
              <w:t>14.2%</w:t>
            </w:r>
          </w:p>
        </w:tc>
      </w:tr>
      <w:tr w:rsidR="00BA1CF9" w14:paraId="23A85E22" w14:textId="77777777">
        <w:trPr>
          <w:jc w:val="center"/>
        </w:trPr>
        <w:tc>
          <w:tcPr>
            <w:tcW w:w="1728" w:type="dxa"/>
            <w:vAlign w:val="center"/>
          </w:tcPr>
          <w:p w14:paraId="026302A5" w14:textId="77777777" w:rsidR="00BA1CF9" w:rsidRDefault="00000000">
            <w:pPr>
              <w:rPr>
                <w:rFonts w:hint="eastAsia"/>
              </w:rPr>
            </w:pPr>
            <w:r>
              <w:rPr>
                <w:sz w:val="17"/>
              </w:rPr>
              <w:t>w</w:t>
            </w:r>
          </w:p>
        </w:tc>
        <w:tc>
          <w:tcPr>
            <w:tcW w:w="1800" w:type="dxa"/>
            <w:vAlign w:val="center"/>
          </w:tcPr>
          <w:p w14:paraId="2B69258C" w14:textId="77777777" w:rsidR="00BA1CF9" w:rsidRDefault="00000000">
            <w:pPr>
              <w:rPr>
                <w:rFonts w:hint="eastAsia"/>
              </w:rPr>
            </w:pPr>
            <w:r>
              <w:rPr>
                <w:sz w:val="17"/>
              </w:rPr>
              <w:t>15,118</w:t>
            </w:r>
          </w:p>
        </w:tc>
        <w:tc>
          <w:tcPr>
            <w:tcW w:w="1728" w:type="dxa"/>
            <w:vAlign w:val="center"/>
          </w:tcPr>
          <w:p w14:paraId="7BD228C6" w14:textId="77777777" w:rsidR="00BA1CF9" w:rsidRDefault="00000000">
            <w:pPr>
              <w:rPr>
                <w:rFonts w:hint="eastAsia"/>
              </w:rPr>
            </w:pPr>
            <w:r>
              <w:rPr>
                <w:sz w:val="17"/>
              </w:rPr>
              <w:t>28.8%</w:t>
            </w:r>
          </w:p>
        </w:tc>
        <w:tc>
          <w:tcPr>
            <w:tcW w:w="1728" w:type="dxa"/>
            <w:vAlign w:val="center"/>
          </w:tcPr>
          <w:p w14:paraId="48733E9F" w14:textId="77777777" w:rsidR="00BA1CF9" w:rsidRDefault="00000000">
            <w:pPr>
              <w:rPr>
                <w:rFonts w:hint="eastAsia"/>
              </w:rPr>
            </w:pPr>
            <w:r>
              <w:rPr>
                <w:sz w:val="17"/>
              </w:rPr>
              <w:t>61.3%</w:t>
            </w:r>
          </w:p>
        </w:tc>
        <w:tc>
          <w:tcPr>
            <w:tcW w:w="1728" w:type="dxa"/>
            <w:vAlign w:val="center"/>
          </w:tcPr>
          <w:p w14:paraId="08363BFF" w14:textId="77777777" w:rsidR="00BA1CF9" w:rsidRDefault="00000000">
            <w:pPr>
              <w:rPr>
                <w:rFonts w:hint="eastAsia"/>
              </w:rPr>
            </w:pPr>
            <w:r>
              <w:rPr>
                <w:sz w:val="17"/>
              </w:rPr>
              <w:t>9.9%</w:t>
            </w:r>
          </w:p>
        </w:tc>
      </w:tr>
    </w:tbl>
    <w:p w14:paraId="0D30168C" w14:textId="77777777" w:rsidR="00BA1CF9" w:rsidRDefault="00BA1CF9">
      <w:pPr>
        <w:rPr>
          <w:rFonts w:hint="eastAsia"/>
        </w:rPr>
      </w:pPr>
    </w:p>
    <w:p w14:paraId="08DDA452" w14:textId="77777777" w:rsidR="00BA1CF9" w:rsidRDefault="00000000">
      <w:pPr>
        <w:spacing w:after="100"/>
        <w:rPr>
          <w:rFonts w:hint="eastAsia"/>
        </w:rPr>
      </w:pPr>
      <w:r>
        <w:t>Foundation type shows a large separation in observed severe damage. Type r has a Grade-3 rate of 37.85%, while type i has only 2.09%. The spread from roughly 2% to 38% is large enough to make foundation type a strong candidate predictor and interpretation variable.</w:t>
      </w:r>
    </w:p>
    <w:p w14:paraId="39F59EC1" w14:textId="77777777" w:rsidR="00BA1CF9" w:rsidRDefault="00000000">
      <w:pPr>
        <w:pStyle w:val="KeyFinding"/>
        <w:rPr>
          <w:rFonts w:hint="eastAsia"/>
        </w:rPr>
      </w:pPr>
      <w:r>
        <w:t>Key finding: Foundation type is one of the clearest structural associations in the EDA and is likely to interact with age, number of floors, and construction material.</w:t>
      </w:r>
    </w:p>
    <w:p w14:paraId="1ED81819" w14:textId="77777777" w:rsidR="00BA1CF9" w:rsidRDefault="00000000">
      <w:pPr>
        <w:pStyle w:val="21"/>
      </w:pPr>
      <w:r>
        <w:lastRenderedPageBreak/>
        <w:t>5.4 Roof Type</w:t>
      </w:r>
    </w:p>
    <w:p w14:paraId="63214395" w14:textId="77777777" w:rsidR="00BA1CF9" w:rsidRDefault="00000000">
      <w:pPr>
        <w:jc w:val="center"/>
        <w:rPr>
          <w:rFonts w:hint="eastAsia"/>
        </w:rPr>
      </w:pPr>
      <w:r>
        <w:rPr>
          <w:noProof/>
        </w:rPr>
        <w:drawing>
          <wp:inline distT="0" distB="0" distL="0" distR="0" wp14:anchorId="17C3ED79" wp14:editId="527A068F">
            <wp:extent cx="5989320" cy="43905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roof_damage.png"/>
                    <pic:cNvPicPr/>
                  </pic:nvPicPr>
                  <pic:blipFill>
                    <a:blip r:embed="rId13"/>
                    <a:stretch>
                      <a:fillRect/>
                    </a:stretch>
                  </pic:blipFill>
                  <pic:spPr>
                    <a:xfrm>
                      <a:off x="0" y="0"/>
                      <a:ext cx="5989320" cy="4390577"/>
                    </a:xfrm>
                    <a:prstGeom prst="rect">
                      <a:avLst/>
                    </a:prstGeom>
                  </pic:spPr>
                </pic:pic>
              </a:graphicData>
            </a:graphic>
          </wp:inline>
        </w:drawing>
      </w:r>
    </w:p>
    <w:p w14:paraId="0E2A966E" w14:textId="77777777" w:rsidR="00BA1CF9" w:rsidRDefault="00000000">
      <w:pPr>
        <w:pStyle w:val="FigureCaption"/>
        <w:jc w:val="center"/>
        <w:rPr>
          <w:rFonts w:hint="eastAsia"/>
        </w:rPr>
      </w:pPr>
      <w:r>
        <w:t>Figure 6. Damage-grade composition by roof type.</w:t>
      </w:r>
    </w:p>
    <w:tbl>
      <w:tblPr>
        <w:tblStyle w:val="aff1"/>
        <w:tblW w:w="0" w:type="auto"/>
        <w:jc w:val="center"/>
        <w:tblLook w:val="04A0" w:firstRow="1" w:lastRow="0" w:firstColumn="1" w:lastColumn="0" w:noHBand="0" w:noVBand="1"/>
      </w:tblPr>
      <w:tblGrid>
        <w:gridCol w:w="1584"/>
        <w:gridCol w:w="1872"/>
        <w:gridCol w:w="1728"/>
        <w:gridCol w:w="1728"/>
        <w:gridCol w:w="1728"/>
      </w:tblGrid>
      <w:tr w:rsidR="00BA1CF9" w14:paraId="54BE6874" w14:textId="77777777">
        <w:trPr>
          <w:jc w:val="center"/>
        </w:trPr>
        <w:tc>
          <w:tcPr>
            <w:tcW w:w="1584" w:type="dxa"/>
            <w:shd w:val="clear" w:color="auto" w:fill="D9EAF7"/>
            <w:vAlign w:val="center"/>
          </w:tcPr>
          <w:p w14:paraId="12D9B1A3" w14:textId="77777777" w:rsidR="00BA1CF9" w:rsidRDefault="00000000">
            <w:pPr>
              <w:rPr>
                <w:rFonts w:hint="eastAsia"/>
              </w:rPr>
            </w:pPr>
            <w:r>
              <w:rPr>
                <w:b/>
                <w:sz w:val="17"/>
              </w:rPr>
              <w:t>Roof</w:t>
            </w:r>
          </w:p>
        </w:tc>
        <w:tc>
          <w:tcPr>
            <w:tcW w:w="1872" w:type="dxa"/>
            <w:shd w:val="clear" w:color="auto" w:fill="D9EAF7"/>
            <w:vAlign w:val="center"/>
          </w:tcPr>
          <w:p w14:paraId="44806C1E" w14:textId="77777777" w:rsidR="00BA1CF9" w:rsidRDefault="00000000">
            <w:pPr>
              <w:rPr>
                <w:rFonts w:hint="eastAsia"/>
              </w:rPr>
            </w:pPr>
            <w:r>
              <w:rPr>
                <w:b/>
                <w:sz w:val="17"/>
              </w:rPr>
              <w:t>N</w:t>
            </w:r>
          </w:p>
        </w:tc>
        <w:tc>
          <w:tcPr>
            <w:tcW w:w="1728" w:type="dxa"/>
            <w:shd w:val="clear" w:color="auto" w:fill="D9EAF7"/>
            <w:vAlign w:val="center"/>
          </w:tcPr>
          <w:p w14:paraId="0DC093B1" w14:textId="77777777" w:rsidR="00BA1CF9" w:rsidRDefault="00000000">
            <w:pPr>
              <w:rPr>
                <w:rFonts w:hint="eastAsia"/>
              </w:rPr>
            </w:pPr>
            <w:r>
              <w:rPr>
                <w:b/>
                <w:sz w:val="17"/>
              </w:rPr>
              <w:t>Grade 1</w:t>
            </w:r>
          </w:p>
        </w:tc>
        <w:tc>
          <w:tcPr>
            <w:tcW w:w="1728" w:type="dxa"/>
            <w:shd w:val="clear" w:color="auto" w:fill="D9EAF7"/>
            <w:vAlign w:val="center"/>
          </w:tcPr>
          <w:p w14:paraId="2FEEAA25" w14:textId="77777777" w:rsidR="00BA1CF9" w:rsidRDefault="00000000">
            <w:pPr>
              <w:rPr>
                <w:rFonts w:hint="eastAsia"/>
              </w:rPr>
            </w:pPr>
            <w:r>
              <w:rPr>
                <w:b/>
                <w:sz w:val="17"/>
              </w:rPr>
              <w:t>Grade 2</w:t>
            </w:r>
          </w:p>
        </w:tc>
        <w:tc>
          <w:tcPr>
            <w:tcW w:w="1728" w:type="dxa"/>
            <w:shd w:val="clear" w:color="auto" w:fill="D9EAF7"/>
            <w:vAlign w:val="center"/>
          </w:tcPr>
          <w:p w14:paraId="720213CC" w14:textId="77777777" w:rsidR="00BA1CF9" w:rsidRDefault="00000000">
            <w:pPr>
              <w:rPr>
                <w:rFonts w:hint="eastAsia"/>
              </w:rPr>
            </w:pPr>
            <w:r>
              <w:rPr>
                <w:b/>
                <w:sz w:val="17"/>
              </w:rPr>
              <w:t>Grade 3</w:t>
            </w:r>
          </w:p>
        </w:tc>
      </w:tr>
      <w:tr w:rsidR="00BA1CF9" w14:paraId="5F1D91D4" w14:textId="77777777">
        <w:trPr>
          <w:jc w:val="center"/>
        </w:trPr>
        <w:tc>
          <w:tcPr>
            <w:tcW w:w="1584" w:type="dxa"/>
            <w:vAlign w:val="center"/>
          </w:tcPr>
          <w:p w14:paraId="27BA00FC" w14:textId="77777777" w:rsidR="00BA1CF9" w:rsidRDefault="00000000">
            <w:pPr>
              <w:rPr>
                <w:rFonts w:hint="eastAsia"/>
              </w:rPr>
            </w:pPr>
            <w:r>
              <w:rPr>
                <w:sz w:val="17"/>
              </w:rPr>
              <w:t>n</w:t>
            </w:r>
          </w:p>
        </w:tc>
        <w:tc>
          <w:tcPr>
            <w:tcW w:w="1872" w:type="dxa"/>
            <w:vAlign w:val="center"/>
          </w:tcPr>
          <w:p w14:paraId="25C48B08" w14:textId="77777777" w:rsidR="00BA1CF9" w:rsidRDefault="00000000">
            <w:pPr>
              <w:rPr>
                <w:rFonts w:hint="eastAsia"/>
              </w:rPr>
            </w:pPr>
            <w:r>
              <w:rPr>
                <w:sz w:val="17"/>
              </w:rPr>
              <w:t>182,842</w:t>
            </w:r>
          </w:p>
        </w:tc>
        <w:tc>
          <w:tcPr>
            <w:tcW w:w="1728" w:type="dxa"/>
            <w:vAlign w:val="center"/>
          </w:tcPr>
          <w:p w14:paraId="00167053" w14:textId="77777777" w:rsidR="00BA1CF9" w:rsidRDefault="00000000">
            <w:pPr>
              <w:rPr>
                <w:rFonts w:hint="eastAsia"/>
              </w:rPr>
            </w:pPr>
            <w:r>
              <w:rPr>
                <w:sz w:val="17"/>
              </w:rPr>
              <w:t>7.4%</w:t>
            </w:r>
          </w:p>
        </w:tc>
        <w:tc>
          <w:tcPr>
            <w:tcW w:w="1728" w:type="dxa"/>
            <w:vAlign w:val="center"/>
          </w:tcPr>
          <w:p w14:paraId="77DFDF64" w14:textId="77777777" w:rsidR="00BA1CF9" w:rsidRDefault="00000000">
            <w:pPr>
              <w:rPr>
                <w:rFonts w:hint="eastAsia"/>
              </w:rPr>
            </w:pPr>
            <w:r>
              <w:rPr>
                <w:sz w:val="17"/>
              </w:rPr>
              <w:t>58.2%</w:t>
            </w:r>
          </w:p>
        </w:tc>
        <w:tc>
          <w:tcPr>
            <w:tcW w:w="1728" w:type="dxa"/>
            <w:vAlign w:val="center"/>
          </w:tcPr>
          <w:p w14:paraId="6289E4DB" w14:textId="77777777" w:rsidR="00BA1CF9" w:rsidRDefault="00000000">
            <w:pPr>
              <w:rPr>
                <w:rFonts w:hint="eastAsia"/>
              </w:rPr>
            </w:pPr>
            <w:r>
              <w:rPr>
                <w:sz w:val="17"/>
              </w:rPr>
              <w:t>34.4%</w:t>
            </w:r>
          </w:p>
        </w:tc>
      </w:tr>
      <w:tr w:rsidR="00BA1CF9" w14:paraId="2B25FF34" w14:textId="77777777">
        <w:trPr>
          <w:jc w:val="center"/>
        </w:trPr>
        <w:tc>
          <w:tcPr>
            <w:tcW w:w="1584" w:type="dxa"/>
            <w:vAlign w:val="center"/>
          </w:tcPr>
          <w:p w14:paraId="0C705DEA" w14:textId="77777777" w:rsidR="00BA1CF9" w:rsidRDefault="00000000">
            <w:pPr>
              <w:rPr>
                <w:rFonts w:hint="eastAsia"/>
              </w:rPr>
            </w:pPr>
            <w:r>
              <w:rPr>
                <w:sz w:val="17"/>
              </w:rPr>
              <w:t>q</w:t>
            </w:r>
          </w:p>
        </w:tc>
        <w:tc>
          <w:tcPr>
            <w:tcW w:w="1872" w:type="dxa"/>
            <w:vAlign w:val="center"/>
          </w:tcPr>
          <w:p w14:paraId="4DCFA310" w14:textId="77777777" w:rsidR="00BA1CF9" w:rsidRDefault="00000000">
            <w:pPr>
              <w:rPr>
                <w:rFonts w:hint="eastAsia"/>
              </w:rPr>
            </w:pPr>
            <w:r>
              <w:rPr>
                <w:sz w:val="17"/>
              </w:rPr>
              <w:t>61,576</w:t>
            </w:r>
          </w:p>
        </w:tc>
        <w:tc>
          <w:tcPr>
            <w:tcW w:w="1728" w:type="dxa"/>
            <w:vAlign w:val="center"/>
          </w:tcPr>
          <w:p w14:paraId="31AF7A79" w14:textId="77777777" w:rsidR="00BA1CF9" w:rsidRDefault="00000000">
            <w:pPr>
              <w:rPr>
                <w:rFonts w:hint="eastAsia"/>
              </w:rPr>
            </w:pPr>
            <w:r>
              <w:rPr>
                <w:sz w:val="17"/>
              </w:rPr>
              <w:t>6.4%</w:t>
            </w:r>
          </w:p>
        </w:tc>
        <w:tc>
          <w:tcPr>
            <w:tcW w:w="1728" w:type="dxa"/>
            <w:vAlign w:val="center"/>
          </w:tcPr>
          <w:p w14:paraId="33FA4FBF" w14:textId="77777777" w:rsidR="00BA1CF9" w:rsidRDefault="00000000">
            <w:pPr>
              <w:rPr>
                <w:rFonts w:hint="eastAsia"/>
              </w:rPr>
            </w:pPr>
            <w:r>
              <w:rPr>
                <w:sz w:val="17"/>
              </w:rPr>
              <w:t>55.2%</w:t>
            </w:r>
          </w:p>
        </w:tc>
        <w:tc>
          <w:tcPr>
            <w:tcW w:w="1728" w:type="dxa"/>
            <w:vAlign w:val="center"/>
          </w:tcPr>
          <w:p w14:paraId="24D2196C" w14:textId="77777777" w:rsidR="00BA1CF9" w:rsidRDefault="00000000">
            <w:pPr>
              <w:rPr>
                <w:rFonts w:hint="eastAsia"/>
              </w:rPr>
            </w:pPr>
            <w:r>
              <w:rPr>
                <w:sz w:val="17"/>
              </w:rPr>
              <w:t>38.4%</w:t>
            </w:r>
          </w:p>
        </w:tc>
      </w:tr>
      <w:tr w:rsidR="00BA1CF9" w14:paraId="0CC178AC" w14:textId="77777777">
        <w:trPr>
          <w:jc w:val="center"/>
        </w:trPr>
        <w:tc>
          <w:tcPr>
            <w:tcW w:w="1584" w:type="dxa"/>
            <w:vAlign w:val="center"/>
          </w:tcPr>
          <w:p w14:paraId="6BBC45DB" w14:textId="77777777" w:rsidR="00BA1CF9" w:rsidRDefault="00000000">
            <w:pPr>
              <w:rPr>
                <w:rFonts w:hint="eastAsia"/>
              </w:rPr>
            </w:pPr>
            <w:r>
              <w:rPr>
                <w:sz w:val="17"/>
              </w:rPr>
              <w:t>x</w:t>
            </w:r>
          </w:p>
        </w:tc>
        <w:tc>
          <w:tcPr>
            <w:tcW w:w="1872" w:type="dxa"/>
            <w:vAlign w:val="center"/>
          </w:tcPr>
          <w:p w14:paraId="30D0C5D7" w14:textId="77777777" w:rsidR="00BA1CF9" w:rsidRDefault="00000000">
            <w:pPr>
              <w:rPr>
                <w:rFonts w:hint="eastAsia"/>
              </w:rPr>
            </w:pPr>
            <w:r>
              <w:rPr>
                <w:sz w:val="17"/>
              </w:rPr>
              <w:t>16,183</w:t>
            </w:r>
          </w:p>
        </w:tc>
        <w:tc>
          <w:tcPr>
            <w:tcW w:w="1728" w:type="dxa"/>
            <w:vAlign w:val="center"/>
          </w:tcPr>
          <w:p w14:paraId="54429681" w14:textId="77777777" w:rsidR="00BA1CF9" w:rsidRDefault="00000000">
            <w:pPr>
              <w:rPr>
                <w:rFonts w:hint="eastAsia"/>
              </w:rPr>
            </w:pPr>
            <w:r>
              <w:rPr>
                <w:sz w:val="17"/>
              </w:rPr>
              <w:t>47.3%</w:t>
            </w:r>
          </w:p>
        </w:tc>
        <w:tc>
          <w:tcPr>
            <w:tcW w:w="1728" w:type="dxa"/>
            <w:vAlign w:val="center"/>
          </w:tcPr>
          <w:p w14:paraId="1994C50F" w14:textId="77777777" w:rsidR="00BA1CF9" w:rsidRDefault="00000000">
            <w:pPr>
              <w:rPr>
                <w:rFonts w:hint="eastAsia"/>
              </w:rPr>
            </w:pPr>
            <w:r>
              <w:rPr>
                <w:sz w:val="17"/>
              </w:rPr>
              <w:t>48.2%</w:t>
            </w:r>
          </w:p>
        </w:tc>
        <w:tc>
          <w:tcPr>
            <w:tcW w:w="1728" w:type="dxa"/>
            <w:vAlign w:val="center"/>
          </w:tcPr>
          <w:p w14:paraId="7B587D07" w14:textId="77777777" w:rsidR="00BA1CF9" w:rsidRDefault="00000000">
            <w:pPr>
              <w:rPr>
                <w:rFonts w:hint="eastAsia"/>
              </w:rPr>
            </w:pPr>
            <w:r>
              <w:rPr>
                <w:sz w:val="17"/>
              </w:rPr>
              <w:t>4.5%</w:t>
            </w:r>
          </w:p>
        </w:tc>
      </w:tr>
    </w:tbl>
    <w:p w14:paraId="753F0D29" w14:textId="77777777" w:rsidR="00BA1CF9" w:rsidRDefault="00BA1CF9">
      <w:pPr>
        <w:rPr>
          <w:rFonts w:hint="eastAsia"/>
        </w:rPr>
      </w:pPr>
    </w:p>
    <w:p w14:paraId="0EE8E452" w14:textId="77777777" w:rsidR="00BA1CF9" w:rsidRDefault="00000000">
      <w:pPr>
        <w:spacing w:after="100"/>
        <w:rPr>
          <w:rFonts w:hint="eastAsia"/>
        </w:rPr>
      </w:pPr>
      <w:r>
        <w:t>Roof type is also strongly associated with damage. Type q has an observed Grade-3 rate of 38.39%, compared with only 4.50% for type x. This categorical variable should therefore be retained and encoded safely for models that cannot consume categories natively.</w:t>
      </w:r>
    </w:p>
    <w:p w14:paraId="178BCC2C" w14:textId="77777777" w:rsidR="00BA1CF9" w:rsidRDefault="00000000">
      <w:pPr>
        <w:pStyle w:val="KeyFinding"/>
        <w:rPr>
          <w:rFonts w:hint="eastAsia"/>
        </w:rPr>
      </w:pPr>
      <w:r>
        <w:t>Key finding: Roof type produces a large shift in the damage distribution and should remain available for both prediction and feature-importance analysis.</w:t>
      </w:r>
    </w:p>
    <w:p w14:paraId="6924782B" w14:textId="77777777" w:rsidR="00BA1CF9" w:rsidRDefault="00000000">
      <w:pPr>
        <w:pStyle w:val="21"/>
      </w:pPr>
      <w:r>
        <w:lastRenderedPageBreak/>
        <w:t>5.5 Secondary Use</w:t>
      </w:r>
    </w:p>
    <w:p w14:paraId="3722EEB3" w14:textId="77777777" w:rsidR="00BA1CF9" w:rsidRDefault="00000000">
      <w:pPr>
        <w:jc w:val="center"/>
        <w:rPr>
          <w:rFonts w:hint="eastAsia"/>
        </w:rPr>
      </w:pPr>
      <w:r>
        <w:rPr>
          <w:noProof/>
        </w:rPr>
        <w:drawing>
          <wp:inline distT="0" distB="0" distL="0" distR="0" wp14:anchorId="2E5A805B" wp14:editId="60FAE5D1">
            <wp:extent cx="5989320" cy="43905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econdary_use_damage.png"/>
                    <pic:cNvPicPr/>
                  </pic:nvPicPr>
                  <pic:blipFill>
                    <a:blip r:embed="rId14"/>
                    <a:stretch>
                      <a:fillRect/>
                    </a:stretch>
                  </pic:blipFill>
                  <pic:spPr>
                    <a:xfrm>
                      <a:off x="0" y="0"/>
                      <a:ext cx="5989320" cy="4390577"/>
                    </a:xfrm>
                    <a:prstGeom prst="rect">
                      <a:avLst/>
                    </a:prstGeom>
                  </pic:spPr>
                </pic:pic>
              </a:graphicData>
            </a:graphic>
          </wp:inline>
        </w:drawing>
      </w:r>
    </w:p>
    <w:p w14:paraId="522C2424" w14:textId="77777777" w:rsidR="00BA1CF9" w:rsidRDefault="00000000">
      <w:pPr>
        <w:pStyle w:val="FigureCaption"/>
        <w:jc w:val="center"/>
        <w:rPr>
          <w:rFonts w:hint="eastAsia"/>
        </w:rPr>
      </w:pPr>
      <w:r>
        <w:t>Figure 7. Damage-grade composition for buildings with and without secondary use.</w:t>
      </w:r>
    </w:p>
    <w:p w14:paraId="02734E20" w14:textId="77777777" w:rsidR="00BA1CF9" w:rsidRDefault="00000000">
      <w:pPr>
        <w:spacing w:after="100"/>
        <w:rPr>
          <w:rFonts w:hint="eastAsia"/>
        </w:rPr>
      </w:pPr>
      <w:r>
        <w:t>Buildings without secondary use have an observed Grade-3 rate of 34.58%; buildings with secondary use have a lower observed Grade-3 rate of 24.67%. Grade 1 is correspondingly more common among buildings with secondary use (14.57% versus 9.02%).</w:t>
      </w:r>
    </w:p>
    <w:p w14:paraId="1C88DB53" w14:textId="77777777" w:rsidR="00BA1CF9" w:rsidRDefault="00000000">
      <w:pPr>
        <w:spacing w:after="100"/>
        <w:rPr>
          <w:rFonts w:hint="eastAsia"/>
        </w:rPr>
      </w:pPr>
      <w:r>
        <w:t>This is an observational association. Secondary use may proxy for building type, location, construction quality, economic activity, or other correlated characteristics. The feature should be modeled, while causal interpretation should be avoided.</w:t>
      </w:r>
    </w:p>
    <w:p w14:paraId="4952AD63" w14:textId="77777777" w:rsidR="00BA1CF9" w:rsidRDefault="00000000">
      <w:pPr>
        <w:pStyle w:val="KeyFinding"/>
        <w:rPr>
          <w:rFonts w:hint="eastAsia"/>
        </w:rPr>
      </w:pPr>
      <w:r>
        <w:t>Key finding: Secondary use is informative in the raw EDA, and secondary_use_count adds finer detail beyond the broad yes/no indicator.</w:t>
      </w:r>
    </w:p>
    <w:p w14:paraId="03D27C38" w14:textId="77777777" w:rsidR="00BA1CF9" w:rsidRDefault="00000000">
      <w:pPr>
        <w:pStyle w:val="21"/>
      </w:pPr>
      <w:r>
        <w:lastRenderedPageBreak/>
        <w:t>5.6 Numeric Building Characteristics by Damage Grade</w:t>
      </w:r>
    </w:p>
    <w:p w14:paraId="3CF42E3C" w14:textId="77777777" w:rsidR="00BA1CF9" w:rsidRDefault="00000000">
      <w:pPr>
        <w:jc w:val="center"/>
        <w:rPr>
          <w:rFonts w:hint="eastAsia"/>
        </w:rPr>
      </w:pPr>
      <w:r>
        <w:rPr>
          <w:noProof/>
        </w:rPr>
        <w:drawing>
          <wp:inline distT="0" distB="0" distL="0" distR="0" wp14:anchorId="144F7D10" wp14:editId="487D8523">
            <wp:extent cx="5852160" cy="48087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numeric_by_damage.png"/>
                    <pic:cNvPicPr/>
                  </pic:nvPicPr>
                  <pic:blipFill>
                    <a:blip r:embed="rId15"/>
                    <a:stretch>
                      <a:fillRect/>
                    </a:stretch>
                  </pic:blipFill>
                  <pic:spPr>
                    <a:xfrm>
                      <a:off x="0" y="0"/>
                      <a:ext cx="5852160" cy="4808729"/>
                    </a:xfrm>
                    <a:prstGeom prst="rect">
                      <a:avLst/>
                    </a:prstGeom>
                  </pic:spPr>
                </pic:pic>
              </a:graphicData>
            </a:graphic>
          </wp:inline>
        </w:drawing>
      </w:r>
    </w:p>
    <w:p w14:paraId="7E9E8EFB" w14:textId="77777777" w:rsidR="00BA1CF9" w:rsidRDefault="00000000">
      <w:pPr>
        <w:pStyle w:val="FigureCaption"/>
        <w:jc w:val="center"/>
        <w:rPr>
          <w:rFonts w:hint="eastAsia"/>
        </w:rPr>
      </w:pPr>
      <w:r>
        <w:t>Figure 8. Boxplots for floors, area, height, and robust age by damage grade.</w:t>
      </w:r>
    </w:p>
    <w:tbl>
      <w:tblPr>
        <w:tblStyle w:val="aff1"/>
        <w:tblW w:w="0" w:type="auto"/>
        <w:jc w:val="center"/>
        <w:tblLook w:val="04A0" w:firstRow="1" w:lastRow="0" w:firstColumn="1" w:lastColumn="0" w:noHBand="0" w:noVBand="1"/>
      </w:tblPr>
      <w:tblGrid>
        <w:gridCol w:w="3168"/>
        <w:gridCol w:w="2088"/>
        <w:gridCol w:w="2088"/>
        <w:gridCol w:w="2088"/>
      </w:tblGrid>
      <w:tr w:rsidR="00BA1CF9" w14:paraId="45293CF7" w14:textId="77777777">
        <w:trPr>
          <w:jc w:val="center"/>
        </w:trPr>
        <w:tc>
          <w:tcPr>
            <w:tcW w:w="3168" w:type="dxa"/>
            <w:shd w:val="clear" w:color="auto" w:fill="D9EAF7"/>
            <w:vAlign w:val="center"/>
          </w:tcPr>
          <w:p w14:paraId="23E03590" w14:textId="77777777" w:rsidR="00BA1CF9" w:rsidRDefault="00000000">
            <w:pPr>
              <w:rPr>
                <w:rFonts w:hint="eastAsia"/>
              </w:rPr>
            </w:pPr>
            <w:r>
              <w:rPr>
                <w:b/>
                <w:sz w:val="17"/>
              </w:rPr>
              <w:t>Variable</w:t>
            </w:r>
          </w:p>
        </w:tc>
        <w:tc>
          <w:tcPr>
            <w:tcW w:w="2088" w:type="dxa"/>
            <w:shd w:val="clear" w:color="auto" w:fill="D9EAF7"/>
            <w:vAlign w:val="center"/>
          </w:tcPr>
          <w:p w14:paraId="6B738AE2" w14:textId="77777777" w:rsidR="00BA1CF9" w:rsidRDefault="00000000">
            <w:pPr>
              <w:rPr>
                <w:rFonts w:hint="eastAsia"/>
              </w:rPr>
            </w:pPr>
            <w:r>
              <w:rPr>
                <w:b/>
                <w:sz w:val="17"/>
              </w:rPr>
              <w:t>Grade 1 median</w:t>
            </w:r>
          </w:p>
        </w:tc>
        <w:tc>
          <w:tcPr>
            <w:tcW w:w="2088" w:type="dxa"/>
            <w:shd w:val="clear" w:color="auto" w:fill="D9EAF7"/>
            <w:vAlign w:val="center"/>
          </w:tcPr>
          <w:p w14:paraId="4AA3FB6F" w14:textId="77777777" w:rsidR="00BA1CF9" w:rsidRDefault="00000000">
            <w:pPr>
              <w:rPr>
                <w:rFonts w:hint="eastAsia"/>
              </w:rPr>
            </w:pPr>
            <w:r>
              <w:rPr>
                <w:b/>
                <w:sz w:val="17"/>
              </w:rPr>
              <w:t>Grade 2 median</w:t>
            </w:r>
          </w:p>
        </w:tc>
        <w:tc>
          <w:tcPr>
            <w:tcW w:w="2088" w:type="dxa"/>
            <w:shd w:val="clear" w:color="auto" w:fill="D9EAF7"/>
            <w:vAlign w:val="center"/>
          </w:tcPr>
          <w:p w14:paraId="0FF1AA91" w14:textId="77777777" w:rsidR="00BA1CF9" w:rsidRDefault="00000000">
            <w:pPr>
              <w:rPr>
                <w:rFonts w:hint="eastAsia"/>
              </w:rPr>
            </w:pPr>
            <w:r>
              <w:rPr>
                <w:b/>
                <w:sz w:val="17"/>
              </w:rPr>
              <w:t>Grade 3 median</w:t>
            </w:r>
          </w:p>
        </w:tc>
      </w:tr>
      <w:tr w:rsidR="00BA1CF9" w14:paraId="21AADE1D" w14:textId="77777777">
        <w:trPr>
          <w:jc w:val="center"/>
        </w:trPr>
        <w:tc>
          <w:tcPr>
            <w:tcW w:w="3168" w:type="dxa"/>
            <w:vAlign w:val="center"/>
          </w:tcPr>
          <w:p w14:paraId="5A14A3B9" w14:textId="77777777" w:rsidR="00BA1CF9" w:rsidRDefault="00000000">
            <w:pPr>
              <w:rPr>
                <w:rFonts w:hint="eastAsia"/>
              </w:rPr>
            </w:pPr>
            <w:r>
              <w:rPr>
                <w:sz w:val="17"/>
              </w:rPr>
              <w:t>Floors</w:t>
            </w:r>
          </w:p>
        </w:tc>
        <w:tc>
          <w:tcPr>
            <w:tcW w:w="2088" w:type="dxa"/>
            <w:vAlign w:val="center"/>
          </w:tcPr>
          <w:p w14:paraId="64D9E1CC" w14:textId="77777777" w:rsidR="00BA1CF9" w:rsidRDefault="00000000">
            <w:pPr>
              <w:rPr>
                <w:rFonts w:hint="eastAsia"/>
              </w:rPr>
            </w:pPr>
            <w:r>
              <w:rPr>
                <w:sz w:val="17"/>
              </w:rPr>
              <w:t>2.00</w:t>
            </w:r>
          </w:p>
        </w:tc>
        <w:tc>
          <w:tcPr>
            <w:tcW w:w="2088" w:type="dxa"/>
            <w:vAlign w:val="center"/>
          </w:tcPr>
          <w:p w14:paraId="15B8370A" w14:textId="77777777" w:rsidR="00BA1CF9" w:rsidRDefault="00000000">
            <w:pPr>
              <w:rPr>
                <w:rFonts w:hint="eastAsia"/>
              </w:rPr>
            </w:pPr>
            <w:r>
              <w:rPr>
                <w:sz w:val="17"/>
              </w:rPr>
              <w:t>2.00</w:t>
            </w:r>
          </w:p>
        </w:tc>
        <w:tc>
          <w:tcPr>
            <w:tcW w:w="2088" w:type="dxa"/>
            <w:vAlign w:val="center"/>
          </w:tcPr>
          <w:p w14:paraId="57242BA3" w14:textId="77777777" w:rsidR="00BA1CF9" w:rsidRDefault="00000000">
            <w:pPr>
              <w:rPr>
                <w:rFonts w:hint="eastAsia"/>
              </w:rPr>
            </w:pPr>
            <w:r>
              <w:rPr>
                <w:sz w:val="17"/>
              </w:rPr>
              <w:t>2.00</w:t>
            </w:r>
          </w:p>
        </w:tc>
      </w:tr>
      <w:tr w:rsidR="00BA1CF9" w14:paraId="7AB183E1" w14:textId="77777777">
        <w:trPr>
          <w:jc w:val="center"/>
        </w:trPr>
        <w:tc>
          <w:tcPr>
            <w:tcW w:w="3168" w:type="dxa"/>
            <w:vAlign w:val="center"/>
          </w:tcPr>
          <w:p w14:paraId="3317C678" w14:textId="77777777" w:rsidR="00BA1CF9" w:rsidRDefault="00000000">
            <w:pPr>
              <w:rPr>
                <w:rFonts w:hint="eastAsia"/>
              </w:rPr>
            </w:pPr>
            <w:r>
              <w:rPr>
                <w:sz w:val="17"/>
              </w:rPr>
              <w:t>Area %</w:t>
            </w:r>
          </w:p>
        </w:tc>
        <w:tc>
          <w:tcPr>
            <w:tcW w:w="2088" w:type="dxa"/>
            <w:vAlign w:val="center"/>
          </w:tcPr>
          <w:p w14:paraId="3225AB75" w14:textId="77777777" w:rsidR="00BA1CF9" w:rsidRDefault="00000000">
            <w:pPr>
              <w:rPr>
                <w:rFonts w:hint="eastAsia"/>
              </w:rPr>
            </w:pPr>
            <w:r>
              <w:rPr>
                <w:sz w:val="17"/>
              </w:rPr>
              <w:t>8.00</w:t>
            </w:r>
          </w:p>
        </w:tc>
        <w:tc>
          <w:tcPr>
            <w:tcW w:w="2088" w:type="dxa"/>
            <w:vAlign w:val="center"/>
          </w:tcPr>
          <w:p w14:paraId="6A2F7461" w14:textId="77777777" w:rsidR="00BA1CF9" w:rsidRDefault="00000000">
            <w:pPr>
              <w:rPr>
                <w:rFonts w:hint="eastAsia"/>
              </w:rPr>
            </w:pPr>
            <w:r>
              <w:rPr>
                <w:sz w:val="17"/>
              </w:rPr>
              <w:t>7.00</w:t>
            </w:r>
          </w:p>
        </w:tc>
        <w:tc>
          <w:tcPr>
            <w:tcW w:w="2088" w:type="dxa"/>
            <w:vAlign w:val="center"/>
          </w:tcPr>
          <w:p w14:paraId="39909504" w14:textId="77777777" w:rsidR="00BA1CF9" w:rsidRDefault="00000000">
            <w:pPr>
              <w:rPr>
                <w:rFonts w:hint="eastAsia"/>
              </w:rPr>
            </w:pPr>
            <w:r>
              <w:rPr>
                <w:sz w:val="17"/>
              </w:rPr>
              <w:t>7.00</w:t>
            </w:r>
          </w:p>
        </w:tc>
      </w:tr>
      <w:tr w:rsidR="00BA1CF9" w14:paraId="46746621" w14:textId="77777777">
        <w:trPr>
          <w:jc w:val="center"/>
        </w:trPr>
        <w:tc>
          <w:tcPr>
            <w:tcW w:w="3168" w:type="dxa"/>
            <w:vAlign w:val="center"/>
          </w:tcPr>
          <w:p w14:paraId="071D4F3E" w14:textId="77777777" w:rsidR="00BA1CF9" w:rsidRDefault="00000000">
            <w:pPr>
              <w:rPr>
                <w:rFonts w:hint="eastAsia"/>
              </w:rPr>
            </w:pPr>
            <w:r>
              <w:rPr>
                <w:sz w:val="17"/>
              </w:rPr>
              <w:t>Height %</w:t>
            </w:r>
          </w:p>
        </w:tc>
        <w:tc>
          <w:tcPr>
            <w:tcW w:w="2088" w:type="dxa"/>
            <w:vAlign w:val="center"/>
          </w:tcPr>
          <w:p w14:paraId="0A75C4C9" w14:textId="77777777" w:rsidR="00BA1CF9" w:rsidRDefault="00000000">
            <w:pPr>
              <w:rPr>
                <w:rFonts w:hint="eastAsia"/>
              </w:rPr>
            </w:pPr>
            <w:r>
              <w:rPr>
                <w:sz w:val="17"/>
              </w:rPr>
              <w:t>5.00</w:t>
            </w:r>
          </w:p>
        </w:tc>
        <w:tc>
          <w:tcPr>
            <w:tcW w:w="2088" w:type="dxa"/>
            <w:vAlign w:val="center"/>
          </w:tcPr>
          <w:p w14:paraId="630AFC87" w14:textId="77777777" w:rsidR="00BA1CF9" w:rsidRDefault="00000000">
            <w:pPr>
              <w:rPr>
                <w:rFonts w:hint="eastAsia"/>
              </w:rPr>
            </w:pPr>
            <w:r>
              <w:rPr>
                <w:sz w:val="17"/>
              </w:rPr>
              <w:t>5.00</w:t>
            </w:r>
          </w:p>
        </w:tc>
        <w:tc>
          <w:tcPr>
            <w:tcW w:w="2088" w:type="dxa"/>
            <w:vAlign w:val="center"/>
          </w:tcPr>
          <w:p w14:paraId="3786B902" w14:textId="77777777" w:rsidR="00BA1CF9" w:rsidRDefault="00000000">
            <w:pPr>
              <w:rPr>
                <w:rFonts w:hint="eastAsia"/>
              </w:rPr>
            </w:pPr>
            <w:r>
              <w:rPr>
                <w:sz w:val="17"/>
              </w:rPr>
              <w:t>5.00</w:t>
            </w:r>
          </w:p>
        </w:tc>
      </w:tr>
      <w:tr w:rsidR="00BA1CF9" w14:paraId="54C3C3B4" w14:textId="77777777">
        <w:trPr>
          <w:jc w:val="center"/>
        </w:trPr>
        <w:tc>
          <w:tcPr>
            <w:tcW w:w="3168" w:type="dxa"/>
            <w:vAlign w:val="center"/>
          </w:tcPr>
          <w:p w14:paraId="7A7EE91C" w14:textId="77777777" w:rsidR="00BA1CF9" w:rsidRDefault="00000000">
            <w:pPr>
              <w:rPr>
                <w:rFonts w:hint="eastAsia"/>
              </w:rPr>
            </w:pPr>
            <w:r>
              <w:rPr>
                <w:sz w:val="17"/>
              </w:rPr>
              <w:t>Age capped 100</w:t>
            </w:r>
          </w:p>
        </w:tc>
        <w:tc>
          <w:tcPr>
            <w:tcW w:w="2088" w:type="dxa"/>
            <w:vAlign w:val="center"/>
          </w:tcPr>
          <w:p w14:paraId="71C1D14D" w14:textId="77777777" w:rsidR="00BA1CF9" w:rsidRDefault="00000000">
            <w:pPr>
              <w:rPr>
                <w:rFonts w:hint="eastAsia"/>
              </w:rPr>
            </w:pPr>
            <w:r>
              <w:rPr>
                <w:sz w:val="17"/>
              </w:rPr>
              <w:t>5.00</w:t>
            </w:r>
          </w:p>
        </w:tc>
        <w:tc>
          <w:tcPr>
            <w:tcW w:w="2088" w:type="dxa"/>
            <w:vAlign w:val="center"/>
          </w:tcPr>
          <w:p w14:paraId="33877A2C" w14:textId="77777777" w:rsidR="00BA1CF9" w:rsidRDefault="00000000">
            <w:pPr>
              <w:rPr>
                <w:rFonts w:hint="eastAsia"/>
              </w:rPr>
            </w:pPr>
            <w:r>
              <w:rPr>
                <w:sz w:val="17"/>
              </w:rPr>
              <w:t>15.00</w:t>
            </w:r>
          </w:p>
        </w:tc>
        <w:tc>
          <w:tcPr>
            <w:tcW w:w="2088" w:type="dxa"/>
            <w:vAlign w:val="center"/>
          </w:tcPr>
          <w:p w14:paraId="6F66C5EB" w14:textId="77777777" w:rsidR="00BA1CF9" w:rsidRDefault="00000000">
            <w:pPr>
              <w:rPr>
                <w:rFonts w:hint="eastAsia"/>
              </w:rPr>
            </w:pPr>
            <w:r>
              <w:rPr>
                <w:sz w:val="17"/>
              </w:rPr>
              <w:t>20.00</w:t>
            </w:r>
          </w:p>
        </w:tc>
      </w:tr>
    </w:tbl>
    <w:p w14:paraId="7537A9A1" w14:textId="77777777" w:rsidR="00BA1CF9" w:rsidRDefault="00BA1CF9">
      <w:pPr>
        <w:rPr>
          <w:rFonts w:hint="eastAsia"/>
        </w:rPr>
      </w:pPr>
    </w:p>
    <w:p w14:paraId="73736C23" w14:textId="77777777" w:rsidR="00BA1CF9" w:rsidRDefault="00000000">
      <w:pPr>
        <w:spacing w:after="100"/>
        <w:rPr>
          <w:rFonts w:hint="eastAsia"/>
        </w:rPr>
      </w:pPr>
      <w:r>
        <w:t>The boxplots indicate that severely damaged buildings occupy different structural profiles from lightly damaged buildings. Grade 3 is shifted toward greater height and shows a wider upper range in floor count, while Grade 1 tends to have larger area percentages. The class distributions still overlap substantially, and the later floor-by-floor analysis shows that floor count itself is non-monotonic. No single numeric feature can separate the classes on its own.</w:t>
      </w:r>
    </w:p>
    <w:p w14:paraId="2E087539" w14:textId="77777777" w:rsidR="00BA1CF9" w:rsidRDefault="00000000">
      <w:pPr>
        <w:pStyle w:val="KeyFinding"/>
        <w:rPr>
          <w:rFonts w:hint="eastAsia"/>
        </w:rPr>
      </w:pPr>
      <w:r>
        <w:t>Key finding: The numeric predictors contain useful signal, yet the overlap across grades suggests that nonlinear interactions and categorical context will be important.</w:t>
      </w:r>
    </w:p>
    <w:p w14:paraId="1585E4F3" w14:textId="77777777" w:rsidR="00BA1CF9" w:rsidRDefault="00000000">
      <w:pPr>
        <w:pStyle w:val="21"/>
      </w:pPr>
      <w:r>
        <w:lastRenderedPageBreak/>
        <w:t>5.7 Overall Numeric Distributions</w:t>
      </w:r>
    </w:p>
    <w:p w14:paraId="4CACFE91" w14:textId="77777777" w:rsidR="00BA1CF9" w:rsidRDefault="00000000">
      <w:pPr>
        <w:jc w:val="center"/>
        <w:rPr>
          <w:rFonts w:hint="eastAsia"/>
        </w:rPr>
      </w:pPr>
      <w:r>
        <w:rPr>
          <w:noProof/>
        </w:rPr>
        <w:drawing>
          <wp:inline distT="0" distB="0" distL="0" distR="0" wp14:anchorId="12695DA5" wp14:editId="6F3A32D1">
            <wp:extent cx="5806440" cy="46439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numeric_distributions.png"/>
                    <pic:cNvPicPr/>
                  </pic:nvPicPr>
                  <pic:blipFill>
                    <a:blip r:embed="rId16"/>
                    <a:stretch>
                      <a:fillRect/>
                    </a:stretch>
                  </pic:blipFill>
                  <pic:spPr>
                    <a:xfrm>
                      <a:off x="0" y="0"/>
                      <a:ext cx="5806440" cy="4643969"/>
                    </a:xfrm>
                    <a:prstGeom prst="rect">
                      <a:avLst/>
                    </a:prstGeom>
                  </pic:spPr>
                </pic:pic>
              </a:graphicData>
            </a:graphic>
          </wp:inline>
        </w:drawing>
      </w:r>
    </w:p>
    <w:p w14:paraId="23AED4AC" w14:textId="77777777" w:rsidR="00BA1CF9" w:rsidRDefault="00000000">
      <w:pPr>
        <w:pStyle w:val="FigureCaption"/>
        <w:jc w:val="center"/>
        <w:rPr>
          <w:rFonts w:hint="eastAsia"/>
        </w:rPr>
      </w:pPr>
      <w:r>
        <w:t>Figure 9. Overall distributions of floors, area percentage, height percentage, and number of families.</w:t>
      </w:r>
    </w:p>
    <w:p w14:paraId="052195B7" w14:textId="77777777" w:rsidR="00BA1CF9" w:rsidRDefault="00000000">
      <w:pPr>
        <w:spacing w:after="100"/>
        <w:rPr>
          <w:rFonts w:hint="eastAsia"/>
        </w:rPr>
      </w:pPr>
      <w:r>
        <w:t>Several core variables are strongly concentrated rather than approximately Gaussian. Most buildings have two or three floors, area_percentage and height_percentage are right-skewed, and count_families is highly concentrated around one family. These shapes support the decision to avoid unnecessary distributional assumptions and make tree-based models particularly attractive.</w:t>
      </w:r>
    </w:p>
    <w:p w14:paraId="74794F0A" w14:textId="77777777" w:rsidR="00BA1CF9" w:rsidRDefault="00000000">
      <w:pPr>
        <w:pStyle w:val="KeyFinding"/>
        <w:rPr>
          <w:rFonts w:hint="eastAsia"/>
        </w:rPr>
      </w:pPr>
      <w:r>
        <w:t>Key finding: The raw numeric variables are discrete or skewed, so robust tree-based models can use their structure without requiring aggressive transformation.</w:t>
      </w:r>
    </w:p>
    <w:p w14:paraId="6CDA305C" w14:textId="77777777" w:rsidR="00BA1CF9" w:rsidRDefault="00000000">
      <w:pPr>
        <w:pStyle w:val="21"/>
      </w:pPr>
      <w:r>
        <w:lastRenderedPageBreak/>
        <w:t>5.8 Categorical Frequency Profiles</w:t>
      </w:r>
    </w:p>
    <w:p w14:paraId="097E31D6" w14:textId="77777777" w:rsidR="00BA1CF9" w:rsidRDefault="00000000">
      <w:pPr>
        <w:jc w:val="center"/>
        <w:rPr>
          <w:rFonts w:hint="eastAsia"/>
        </w:rPr>
      </w:pPr>
      <w:r>
        <w:rPr>
          <w:noProof/>
        </w:rPr>
        <w:drawing>
          <wp:inline distT="0" distB="0" distL="0" distR="0" wp14:anchorId="26BC7EC1" wp14:editId="28576B49">
            <wp:extent cx="5806440" cy="44878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ategorical_frequencies.png"/>
                    <pic:cNvPicPr/>
                  </pic:nvPicPr>
                  <pic:blipFill>
                    <a:blip r:embed="rId17"/>
                    <a:stretch>
                      <a:fillRect/>
                    </a:stretch>
                  </pic:blipFill>
                  <pic:spPr>
                    <a:xfrm>
                      <a:off x="0" y="0"/>
                      <a:ext cx="5806440" cy="4487834"/>
                    </a:xfrm>
                    <a:prstGeom prst="rect">
                      <a:avLst/>
                    </a:prstGeom>
                  </pic:spPr>
                </pic:pic>
              </a:graphicData>
            </a:graphic>
          </wp:inline>
        </w:drawing>
      </w:r>
    </w:p>
    <w:p w14:paraId="494A8E52" w14:textId="77777777" w:rsidR="00BA1CF9" w:rsidRDefault="00000000">
      <w:pPr>
        <w:pStyle w:val="FigureCaption"/>
        <w:jc w:val="center"/>
        <w:rPr>
          <w:rFonts w:hint="eastAsia"/>
        </w:rPr>
      </w:pPr>
      <w:r>
        <w:t>Figure 10. Frequency distributions of major categorical building variables.</w:t>
      </w:r>
    </w:p>
    <w:p w14:paraId="4C42C6BD" w14:textId="77777777" w:rsidR="00BA1CF9" w:rsidRDefault="00000000">
      <w:pPr>
        <w:spacing w:after="100"/>
        <w:rPr>
          <w:rFonts w:hint="eastAsia"/>
        </w:rPr>
      </w:pPr>
      <w:r>
        <w:t>The categorical features are imbalanced internally. Foundation type 'r' represents 84.1% of buildings, while roof type 'n' represents 70.2%. Rare categories are also present. Encoding methods therefore need to tolerate unseen or low-frequency categories without failing.</w:t>
      </w:r>
    </w:p>
    <w:p w14:paraId="38CF3087" w14:textId="77777777" w:rsidR="00BA1CF9" w:rsidRDefault="00000000">
      <w:pPr>
        <w:pStyle w:val="KeyFinding"/>
        <w:rPr>
          <w:rFonts w:hint="eastAsia"/>
        </w:rPr>
      </w:pPr>
      <w:r>
        <w:t>Key finding: Category frequency is highly uneven, which favors encoders with unknown-category handling and motivates CatBoost-style native categorical treatment.</w:t>
      </w:r>
    </w:p>
    <w:p w14:paraId="7F858C25" w14:textId="77777777" w:rsidR="00BA1CF9" w:rsidRDefault="00000000">
      <w:pPr>
        <w:pStyle w:val="21"/>
      </w:pPr>
      <w:r>
        <w:lastRenderedPageBreak/>
        <w:t>5.9 Correlation Among Numeric and Engineered Variables</w:t>
      </w:r>
    </w:p>
    <w:p w14:paraId="415E773B" w14:textId="77777777" w:rsidR="00BA1CF9" w:rsidRDefault="00000000">
      <w:pPr>
        <w:jc w:val="center"/>
        <w:rPr>
          <w:rFonts w:hint="eastAsia"/>
        </w:rPr>
      </w:pPr>
      <w:r>
        <w:rPr>
          <w:noProof/>
        </w:rPr>
        <w:drawing>
          <wp:inline distT="0" distB="0" distL="0" distR="0" wp14:anchorId="3CBB99B3" wp14:editId="04043B20">
            <wp:extent cx="5623560" cy="43995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rrelations.png"/>
                    <pic:cNvPicPr/>
                  </pic:nvPicPr>
                  <pic:blipFill>
                    <a:blip r:embed="rId18"/>
                    <a:stretch>
                      <a:fillRect/>
                    </a:stretch>
                  </pic:blipFill>
                  <pic:spPr>
                    <a:xfrm>
                      <a:off x="0" y="0"/>
                      <a:ext cx="5623560" cy="4399534"/>
                    </a:xfrm>
                    <a:prstGeom prst="rect">
                      <a:avLst/>
                    </a:prstGeom>
                  </pic:spPr>
                </pic:pic>
              </a:graphicData>
            </a:graphic>
          </wp:inline>
        </w:drawing>
      </w:r>
    </w:p>
    <w:p w14:paraId="6010DBC9" w14:textId="77777777" w:rsidR="00BA1CF9" w:rsidRDefault="00000000">
      <w:pPr>
        <w:pStyle w:val="FigureCaption"/>
        <w:jc w:val="center"/>
        <w:rPr>
          <w:rFonts w:hint="eastAsia"/>
        </w:rPr>
      </w:pPr>
      <w:r>
        <w:t>Figure 11. Pearson correlations among selected numeric and engineered variables.</w:t>
      </w:r>
    </w:p>
    <w:p w14:paraId="01CCA78F" w14:textId="77777777" w:rsidR="00BA1CF9" w:rsidRDefault="00000000">
      <w:pPr>
        <w:spacing w:after="100"/>
        <w:rPr>
          <w:rFonts w:hint="eastAsia"/>
        </w:rPr>
      </w:pPr>
      <w:r>
        <w:t>The strongest pairwise correlation is between count_floors_pre_eq and height_percentage (r = 0.77), which is expected because taller buildings usually have more floors. count_families and families_per_floor are also correlated (r = 0.65), while count_floors_pre_eq and families_per_floor are negatively related (r = -0.57).</w:t>
      </w:r>
    </w:p>
    <w:p w14:paraId="2344BDE4" w14:textId="77777777" w:rsidR="00BA1CF9" w:rsidRDefault="00000000">
      <w:pPr>
        <w:spacing w:after="100"/>
        <w:rPr>
          <w:rFonts w:hint="eastAsia"/>
        </w:rPr>
      </w:pPr>
      <w:r>
        <w:t>This heatmap is a diagnostic for redundancy and linear dependence among predictors. It is not a direct measure of predictive importance for damage_grade, especially because many of the most informative features are categorical and relationships may be nonlinear.</w:t>
      </w:r>
    </w:p>
    <w:p w14:paraId="1F359C5D" w14:textId="77777777" w:rsidR="00BA1CF9" w:rsidRDefault="00000000">
      <w:pPr>
        <w:pStyle w:val="KeyFinding"/>
        <w:rPr>
          <w:rFonts w:hint="eastAsia"/>
        </w:rPr>
      </w:pPr>
      <w:r>
        <w:t>Key finding: Some engineered features are mathematically related to their source variables, so regularized linear models may face redundancy; tree ensembles are less sensitive to this issue.</w:t>
      </w:r>
    </w:p>
    <w:p w14:paraId="66BC5FAB" w14:textId="77777777" w:rsidR="00BA1CF9" w:rsidRDefault="00000000">
      <w:pPr>
        <w:pStyle w:val="21"/>
      </w:pPr>
      <w:r>
        <w:lastRenderedPageBreak/>
        <w:t>5.10 Construction Materials and Severe Damage</w:t>
      </w:r>
    </w:p>
    <w:p w14:paraId="63AF12B0" w14:textId="77777777" w:rsidR="00BA1CF9" w:rsidRDefault="00000000">
      <w:pPr>
        <w:jc w:val="center"/>
        <w:rPr>
          <w:rFonts w:hint="eastAsia"/>
        </w:rPr>
      </w:pPr>
      <w:r>
        <w:rPr>
          <w:noProof/>
        </w:rPr>
        <w:drawing>
          <wp:inline distT="0" distB="0" distL="0" distR="0" wp14:anchorId="315CFEF6" wp14:editId="57ADF005">
            <wp:extent cx="5852160" cy="37094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material_prevalence_grade3.png"/>
                    <pic:cNvPicPr/>
                  </pic:nvPicPr>
                  <pic:blipFill>
                    <a:blip r:embed="rId19"/>
                    <a:stretch>
                      <a:fillRect/>
                    </a:stretch>
                  </pic:blipFill>
                  <pic:spPr>
                    <a:xfrm>
                      <a:off x="0" y="0"/>
                      <a:ext cx="5852160" cy="3709428"/>
                    </a:xfrm>
                    <a:prstGeom prst="rect">
                      <a:avLst/>
                    </a:prstGeom>
                  </pic:spPr>
                </pic:pic>
              </a:graphicData>
            </a:graphic>
          </wp:inline>
        </w:drawing>
      </w:r>
    </w:p>
    <w:p w14:paraId="4E6CD589" w14:textId="77777777" w:rsidR="00BA1CF9" w:rsidRDefault="00000000">
      <w:pPr>
        <w:pStyle w:val="FigureCaption"/>
        <w:jc w:val="center"/>
        <w:rPr>
          <w:rFonts w:hint="eastAsia"/>
        </w:rPr>
      </w:pPr>
      <w:r>
        <w:t>Figure 12. Material prevalence versus observed Grade-3 damage rate.</w:t>
      </w:r>
    </w:p>
    <w:tbl>
      <w:tblPr>
        <w:tblStyle w:val="aff1"/>
        <w:tblW w:w="0" w:type="auto"/>
        <w:jc w:val="center"/>
        <w:tblLook w:val="04A0" w:firstRow="1" w:lastRow="0" w:firstColumn="1" w:lastColumn="0" w:noHBand="0" w:noVBand="1"/>
      </w:tblPr>
      <w:tblGrid>
        <w:gridCol w:w="4176"/>
        <w:gridCol w:w="2160"/>
        <w:gridCol w:w="2160"/>
      </w:tblGrid>
      <w:tr w:rsidR="00BA1CF9" w14:paraId="112C979E" w14:textId="77777777">
        <w:trPr>
          <w:jc w:val="center"/>
        </w:trPr>
        <w:tc>
          <w:tcPr>
            <w:tcW w:w="4176" w:type="dxa"/>
            <w:shd w:val="clear" w:color="auto" w:fill="D9EAF7"/>
            <w:vAlign w:val="center"/>
          </w:tcPr>
          <w:p w14:paraId="4048BC51" w14:textId="77777777" w:rsidR="00BA1CF9" w:rsidRDefault="00000000">
            <w:pPr>
              <w:rPr>
                <w:rFonts w:hint="eastAsia"/>
              </w:rPr>
            </w:pPr>
            <w:r>
              <w:rPr>
                <w:b/>
                <w:sz w:val="17"/>
              </w:rPr>
              <w:t>Material</w:t>
            </w:r>
          </w:p>
        </w:tc>
        <w:tc>
          <w:tcPr>
            <w:tcW w:w="2160" w:type="dxa"/>
            <w:shd w:val="clear" w:color="auto" w:fill="D9EAF7"/>
            <w:vAlign w:val="center"/>
          </w:tcPr>
          <w:p w14:paraId="416D3735" w14:textId="77777777" w:rsidR="00BA1CF9" w:rsidRDefault="00000000">
            <w:pPr>
              <w:rPr>
                <w:rFonts w:hint="eastAsia"/>
              </w:rPr>
            </w:pPr>
            <w:r>
              <w:rPr>
                <w:b/>
                <w:sz w:val="17"/>
              </w:rPr>
              <w:t>Prevalence</w:t>
            </w:r>
          </w:p>
        </w:tc>
        <w:tc>
          <w:tcPr>
            <w:tcW w:w="2160" w:type="dxa"/>
            <w:shd w:val="clear" w:color="auto" w:fill="D9EAF7"/>
            <w:vAlign w:val="center"/>
          </w:tcPr>
          <w:p w14:paraId="15EBC68C" w14:textId="77777777" w:rsidR="00BA1CF9" w:rsidRDefault="00000000">
            <w:pPr>
              <w:rPr>
                <w:rFonts w:hint="eastAsia"/>
              </w:rPr>
            </w:pPr>
            <w:r>
              <w:rPr>
                <w:b/>
                <w:sz w:val="17"/>
              </w:rPr>
              <w:t>Grade-3 rate</w:t>
            </w:r>
          </w:p>
        </w:tc>
      </w:tr>
      <w:tr w:rsidR="00BA1CF9" w14:paraId="3CD74A7B" w14:textId="77777777">
        <w:trPr>
          <w:jc w:val="center"/>
        </w:trPr>
        <w:tc>
          <w:tcPr>
            <w:tcW w:w="4176" w:type="dxa"/>
            <w:vAlign w:val="center"/>
          </w:tcPr>
          <w:p w14:paraId="76C1490F" w14:textId="77777777" w:rsidR="00BA1CF9" w:rsidRDefault="00000000">
            <w:pPr>
              <w:rPr>
                <w:rFonts w:hint="eastAsia"/>
              </w:rPr>
            </w:pPr>
            <w:r>
              <w:rPr>
                <w:sz w:val="17"/>
              </w:rPr>
              <w:t>stone_flag</w:t>
            </w:r>
          </w:p>
        </w:tc>
        <w:tc>
          <w:tcPr>
            <w:tcW w:w="2160" w:type="dxa"/>
            <w:vAlign w:val="center"/>
          </w:tcPr>
          <w:p w14:paraId="701CBB48" w14:textId="77777777" w:rsidR="00BA1CF9" w:rsidRDefault="00000000">
            <w:pPr>
              <w:rPr>
                <w:rFonts w:hint="eastAsia"/>
              </w:rPr>
            </w:pPr>
            <w:r>
              <w:rPr>
                <w:sz w:val="17"/>
              </w:rPr>
              <w:t>3.4%</w:t>
            </w:r>
          </w:p>
        </w:tc>
        <w:tc>
          <w:tcPr>
            <w:tcW w:w="2160" w:type="dxa"/>
            <w:vAlign w:val="center"/>
          </w:tcPr>
          <w:p w14:paraId="1949BCA8" w14:textId="77777777" w:rsidR="00BA1CF9" w:rsidRDefault="00000000">
            <w:pPr>
              <w:rPr>
                <w:rFonts w:hint="eastAsia"/>
              </w:rPr>
            </w:pPr>
            <w:r>
              <w:rPr>
                <w:sz w:val="17"/>
              </w:rPr>
              <w:t>47.3%</w:t>
            </w:r>
          </w:p>
        </w:tc>
      </w:tr>
      <w:tr w:rsidR="00BA1CF9" w14:paraId="3B78766E" w14:textId="77777777">
        <w:trPr>
          <w:jc w:val="center"/>
        </w:trPr>
        <w:tc>
          <w:tcPr>
            <w:tcW w:w="4176" w:type="dxa"/>
            <w:vAlign w:val="center"/>
          </w:tcPr>
          <w:p w14:paraId="2A51152B" w14:textId="77777777" w:rsidR="00BA1CF9" w:rsidRDefault="00000000">
            <w:pPr>
              <w:rPr>
                <w:rFonts w:hint="eastAsia"/>
              </w:rPr>
            </w:pPr>
            <w:r>
              <w:rPr>
                <w:sz w:val="17"/>
              </w:rPr>
              <w:t>mud_mortar_stone</w:t>
            </w:r>
          </w:p>
        </w:tc>
        <w:tc>
          <w:tcPr>
            <w:tcW w:w="2160" w:type="dxa"/>
            <w:vAlign w:val="center"/>
          </w:tcPr>
          <w:p w14:paraId="03A5ED37" w14:textId="77777777" w:rsidR="00BA1CF9" w:rsidRDefault="00000000">
            <w:pPr>
              <w:rPr>
                <w:rFonts w:hint="eastAsia"/>
              </w:rPr>
            </w:pPr>
            <w:r>
              <w:rPr>
                <w:sz w:val="17"/>
              </w:rPr>
              <w:t>76.2%</w:t>
            </w:r>
          </w:p>
        </w:tc>
        <w:tc>
          <w:tcPr>
            <w:tcW w:w="2160" w:type="dxa"/>
            <w:vAlign w:val="center"/>
          </w:tcPr>
          <w:p w14:paraId="0F89FB40" w14:textId="77777777" w:rsidR="00BA1CF9" w:rsidRDefault="00000000">
            <w:pPr>
              <w:rPr>
                <w:rFonts w:hint="eastAsia"/>
              </w:rPr>
            </w:pPr>
            <w:r>
              <w:rPr>
                <w:sz w:val="17"/>
              </w:rPr>
              <w:t>38.2%</w:t>
            </w:r>
          </w:p>
        </w:tc>
      </w:tr>
      <w:tr w:rsidR="00BA1CF9" w14:paraId="07448151" w14:textId="77777777">
        <w:trPr>
          <w:jc w:val="center"/>
        </w:trPr>
        <w:tc>
          <w:tcPr>
            <w:tcW w:w="4176" w:type="dxa"/>
            <w:vAlign w:val="center"/>
          </w:tcPr>
          <w:p w14:paraId="17642BEF" w14:textId="77777777" w:rsidR="00BA1CF9" w:rsidRDefault="00000000">
            <w:pPr>
              <w:rPr>
                <w:rFonts w:hint="eastAsia"/>
              </w:rPr>
            </w:pPr>
            <w:r>
              <w:rPr>
                <w:sz w:val="17"/>
              </w:rPr>
              <w:t>adobe_mud</w:t>
            </w:r>
          </w:p>
        </w:tc>
        <w:tc>
          <w:tcPr>
            <w:tcW w:w="2160" w:type="dxa"/>
            <w:vAlign w:val="center"/>
          </w:tcPr>
          <w:p w14:paraId="78F63EB8" w14:textId="77777777" w:rsidR="00BA1CF9" w:rsidRDefault="00000000">
            <w:pPr>
              <w:rPr>
                <w:rFonts w:hint="eastAsia"/>
              </w:rPr>
            </w:pPr>
            <w:r>
              <w:rPr>
                <w:sz w:val="17"/>
              </w:rPr>
              <w:t>8.9%</w:t>
            </w:r>
          </w:p>
        </w:tc>
        <w:tc>
          <w:tcPr>
            <w:tcW w:w="2160" w:type="dxa"/>
            <w:vAlign w:val="center"/>
          </w:tcPr>
          <w:p w14:paraId="19D12350" w14:textId="77777777" w:rsidR="00BA1CF9" w:rsidRDefault="00000000">
            <w:pPr>
              <w:rPr>
                <w:rFonts w:hint="eastAsia"/>
              </w:rPr>
            </w:pPr>
            <w:r>
              <w:rPr>
                <w:sz w:val="17"/>
              </w:rPr>
              <w:t>37.2%</w:t>
            </w:r>
          </w:p>
        </w:tc>
      </w:tr>
      <w:tr w:rsidR="00BA1CF9" w14:paraId="2336C34C" w14:textId="77777777">
        <w:trPr>
          <w:jc w:val="center"/>
        </w:trPr>
        <w:tc>
          <w:tcPr>
            <w:tcW w:w="4176" w:type="dxa"/>
            <w:vAlign w:val="center"/>
          </w:tcPr>
          <w:p w14:paraId="6A21BE50" w14:textId="77777777" w:rsidR="00BA1CF9" w:rsidRDefault="00000000">
            <w:pPr>
              <w:rPr>
                <w:rFonts w:hint="eastAsia"/>
              </w:rPr>
            </w:pPr>
            <w:r>
              <w:rPr>
                <w:sz w:val="17"/>
              </w:rPr>
              <w:t>mud_mortar_brick</w:t>
            </w:r>
          </w:p>
        </w:tc>
        <w:tc>
          <w:tcPr>
            <w:tcW w:w="2160" w:type="dxa"/>
            <w:vAlign w:val="center"/>
          </w:tcPr>
          <w:p w14:paraId="2B8F049D" w14:textId="77777777" w:rsidR="00BA1CF9" w:rsidRDefault="00000000">
            <w:pPr>
              <w:rPr>
                <w:rFonts w:hint="eastAsia"/>
              </w:rPr>
            </w:pPr>
            <w:r>
              <w:rPr>
                <w:sz w:val="17"/>
              </w:rPr>
              <w:t>6.8%</w:t>
            </w:r>
          </w:p>
        </w:tc>
        <w:tc>
          <w:tcPr>
            <w:tcW w:w="2160" w:type="dxa"/>
            <w:vAlign w:val="center"/>
          </w:tcPr>
          <w:p w14:paraId="28B0D70D" w14:textId="77777777" w:rsidR="00BA1CF9" w:rsidRDefault="00000000">
            <w:pPr>
              <w:rPr>
                <w:rFonts w:hint="eastAsia"/>
              </w:rPr>
            </w:pPr>
            <w:r>
              <w:rPr>
                <w:sz w:val="17"/>
              </w:rPr>
              <w:t>30.6%</w:t>
            </w:r>
          </w:p>
        </w:tc>
      </w:tr>
      <w:tr w:rsidR="00BA1CF9" w14:paraId="293B1CAB" w14:textId="77777777">
        <w:trPr>
          <w:jc w:val="center"/>
        </w:trPr>
        <w:tc>
          <w:tcPr>
            <w:tcW w:w="4176" w:type="dxa"/>
            <w:vAlign w:val="center"/>
          </w:tcPr>
          <w:p w14:paraId="06EF0F95" w14:textId="77777777" w:rsidR="00BA1CF9" w:rsidRDefault="00000000">
            <w:pPr>
              <w:rPr>
                <w:rFonts w:hint="eastAsia"/>
              </w:rPr>
            </w:pPr>
            <w:r>
              <w:rPr>
                <w:sz w:val="17"/>
              </w:rPr>
              <w:t>timber</w:t>
            </w:r>
          </w:p>
        </w:tc>
        <w:tc>
          <w:tcPr>
            <w:tcW w:w="2160" w:type="dxa"/>
            <w:vAlign w:val="center"/>
          </w:tcPr>
          <w:p w14:paraId="1C3579DC" w14:textId="77777777" w:rsidR="00BA1CF9" w:rsidRDefault="00000000">
            <w:pPr>
              <w:rPr>
                <w:rFonts w:hint="eastAsia"/>
              </w:rPr>
            </w:pPr>
            <w:r>
              <w:rPr>
                <w:sz w:val="17"/>
              </w:rPr>
              <w:t>25.5%</w:t>
            </w:r>
          </w:p>
        </w:tc>
        <w:tc>
          <w:tcPr>
            <w:tcW w:w="2160" w:type="dxa"/>
            <w:vAlign w:val="center"/>
          </w:tcPr>
          <w:p w14:paraId="4A909F46" w14:textId="77777777" w:rsidR="00BA1CF9" w:rsidRDefault="00000000">
            <w:pPr>
              <w:rPr>
                <w:rFonts w:hint="eastAsia"/>
              </w:rPr>
            </w:pPr>
            <w:r>
              <w:rPr>
                <w:sz w:val="17"/>
              </w:rPr>
              <w:t>28.0%</w:t>
            </w:r>
          </w:p>
        </w:tc>
      </w:tr>
      <w:tr w:rsidR="00BA1CF9" w14:paraId="48616FD6" w14:textId="77777777">
        <w:trPr>
          <w:jc w:val="center"/>
        </w:trPr>
        <w:tc>
          <w:tcPr>
            <w:tcW w:w="4176" w:type="dxa"/>
            <w:vAlign w:val="center"/>
          </w:tcPr>
          <w:p w14:paraId="5BC79699" w14:textId="77777777" w:rsidR="00BA1CF9" w:rsidRDefault="00000000">
            <w:pPr>
              <w:rPr>
                <w:rFonts w:hint="eastAsia"/>
              </w:rPr>
            </w:pPr>
            <w:r>
              <w:rPr>
                <w:sz w:val="17"/>
              </w:rPr>
              <w:t>other</w:t>
            </w:r>
          </w:p>
        </w:tc>
        <w:tc>
          <w:tcPr>
            <w:tcW w:w="2160" w:type="dxa"/>
            <w:vAlign w:val="center"/>
          </w:tcPr>
          <w:p w14:paraId="12E95A8E" w14:textId="77777777" w:rsidR="00BA1CF9" w:rsidRDefault="00000000">
            <w:pPr>
              <w:rPr>
                <w:rFonts w:hint="eastAsia"/>
              </w:rPr>
            </w:pPr>
            <w:r>
              <w:rPr>
                <w:sz w:val="17"/>
              </w:rPr>
              <w:t>1.5%</w:t>
            </w:r>
          </w:p>
        </w:tc>
        <w:tc>
          <w:tcPr>
            <w:tcW w:w="2160" w:type="dxa"/>
            <w:vAlign w:val="center"/>
          </w:tcPr>
          <w:p w14:paraId="1D43AD70" w14:textId="77777777" w:rsidR="00BA1CF9" w:rsidRDefault="00000000">
            <w:pPr>
              <w:rPr>
                <w:rFonts w:hint="eastAsia"/>
              </w:rPr>
            </w:pPr>
            <w:r>
              <w:rPr>
                <w:sz w:val="17"/>
              </w:rPr>
              <w:t>25.6%</w:t>
            </w:r>
          </w:p>
        </w:tc>
      </w:tr>
      <w:tr w:rsidR="00BA1CF9" w14:paraId="42FA3B59" w14:textId="77777777">
        <w:trPr>
          <w:jc w:val="center"/>
        </w:trPr>
        <w:tc>
          <w:tcPr>
            <w:tcW w:w="4176" w:type="dxa"/>
            <w:vAlign w:val="center"/>
          </w:tcPr>
          <w:p w14:paraId="5D0C4FE3" w14:textId="77777777" w:rsidR="00BA1CF9" w:rsidRDefault="00000000">
            <w:pPr>
              <w:rPr>
                <w:rFonts w:hint="eastAsia"/>
              </w:rPr>
            </w:pPr>
            <w:r>
              <w:rPr>
                <w:sz w:val="17"/>
              </w:rPr>
              <w:t>bamboo</w:t>
            </w:r>
          </w:p>
        </w:tc>
        <w:tc>
          <w:tcPr>
            <w:tcW w:w="2160" w:type="dxa"/>
            <w:vAlign w:val="center"/>
          </w:tcPr>
          <w:p w14:paraId="3C61ADED" w14:textId="77777777" w:rsidR="00BA1CF9" w:rsidRDefault="00000000">
            <w:pPr>
              <w:rPr>
                <w:rFonts w:hint="eastAsia"/>
              </w:rPr>
            </w:pPr>
            <w:r>
              <w:rPr>
                <w:sz w:val="17"/>
              </w:rPr>
              <w:t>8.5%</w:t>
            </w:r>
          </w:p>
        </w:tc>
        <w:tc>
          <w:tcPr>
            <w:tcW w:w="2160" w:type="dxa"/>
            <w:vAlign w:val="center"/>
          </w:tcPr>
          <w:p w14:paraId="0A5A3D9C" w14:textId="77777777" w:rsidR="00BA1CF9" w:rsidRDefault="00000000">
            <w:pPr>
              <w:rPr>
                <w:rFonts w:hint="eastAsia"/>
              </w:rPr>
            </w:pPr>
            <w:r>
              <w:rPr>
                <w:sz w:val="17"/>
              </w:rPr>
              <w:t>24.0%</w:t>
            </w:r>
          </w:p>
        </w:tc>
      </w:tr>
      <w:tr w:rsidR="00BA1CF9" w14:paraId="25E653DE" w14:textId="77777777">
        <w:trPr>
          <w:jc w:val="center"/>
        </w:trPr>
        <w:tc>
          <w:tcPr>
            <w:tcW w:w="4176" w:type="dxa"/>
            <w:vAlign w:val="center"/>
          </w:tcPr>
          <w:p w14:paraId="14C3AF95" w14:textId="77777777" w:rsidR="00BA1CF9" w:rsidRDefault="00000000">
            <w:pPr>
              <w:rPr>
                <w:rFonts w:hint="eastAsia"/>
              </w:rPr>
            </w:pPr>
            <w:r>
              <w:rPr>
                <w:sz w:val="17"/>
              </w:rPr>
              <w:t>cement_mortar_stone</w:t>
            </w:r>
          </w:p>
        </w:tc>
        <w:tc>
          <w:tcPr>
            <w:tcW w:w="2160" w:type="dxa"/>
            <w:vAlign w:val="center"/>
          </w:tcPr>
          <w:p w14:paraId="3233B056" w14:textId="77777777" w:rsidR="00BA1CF9" w:rsidRDefault="00000000">
            <w:pPr>
              <w:rPr>
                <w:rFonts w:hint="eastAsia"/>
              </w:rPr>
            </w:pPr>
            <w:r>
              <w:rPr>
                <w:sz w:val="17"/>
              </w:rPr>
              <w:t>1.8%</w:t>
            </w:r>
          </w:p>
        </w:tc>
        <w:tc>
          <w:tcPr>
            <w:tcW w:w="2160" w:type="dxa"/>
            <w:vAlign w:val="center"/>
          </w:tcPr>
          <w:p w14:paraId="0400987B" w14:textId="77777777" w:rsidR="00BA1CF9" w:rsidRDefault="00000000">
            <w:pPr>
              <w:rPr>
                <w:rFonts w:hint="eastAsia"/>
              </w:rPr>
            </w:pPr>
            <w:r>
              <w:rPr>
                <w:sz w:val="17"/>
              </w:rPr>
              <w:t>14.2%</w:t>
            </w:r>
          </w:p>
        </w:tc>
      </w:tr>
      <w:tr w:rsidR="00BA1CF9" w14:paraId="4483BE2D" w14:textId="77777777">
        <w:trPr>
          <w:jc w:val="center"/>
        </w:trPr>
        <w:tc>
          <w:tcPr>
            <w:tcW w:w="4176" w:type="dxa"/>
            <w:vAlign w:val="center"/>
          </w:tcPr>
          <w:p w14:paraId="102C336F" w14:textId="77777777" w:rsidR="00BA1CF9" w:rsidRDefault="00000000">
            <w:pPr>
              <w:rPr>
                <w:rFonts w:hint="eastAsia"/>
              </w:rPr>
            </w:pPr>
            <w:r>
              <w:rPr>
                <w:sz w:val="17"/>
              </w:rPr>
              <w:t>rc_non_engineered</w:t>
            </w:r>
          </w:p>
        </w:tc>
        <w:tc>
          <w:tcPr>
            <w:tcW w:w="2160" w:type="dxa"/>
            <w:vAlign w:val="center"/>
          </w:tcPr>
          <w:p w14:paraId="0ABDDD41" w14:textId="77777777" w:rsidR="00BA1CF9" w:rsidRDefault="00000000">
            <w:pPr>
              <w:rPr>
                <w:rFonts w:hint="eastAsia"/>
              </w:rPr>
            </w:pPr>
            <w:r>
              <w:rPr>
                <w:sz w:val="17"/>
              </w:rPr>
              <w:t>4.3%</w:t>
            </w:r>
          </w:p>
        </w:tc>
        <w:tc>
          <w:tcPr>
            <w:tcW w:w="2160" w:type="dxa"/>
            <w:vAlign w:val="center"/>
          </w:tcPr>
          <w:p w14:paraId="30DDB55F" w14:textId="77777777" w:rsidR="00BA1CF9" w:rsidRDefault="00000000">
            <w:pPr>
              <w:rPr>
                <w:rFonts w:hint="eastAsia"/>
              </w:rPr>
            </w:pPr>
            <w:r>
              <w:rPr>
                <w:sz w:val="17"/>
              </w:rPr>
              <w:t>12.7%</w:t>
            </w:r>
          </w:p>
        </w:tc>
      </w:tr>
      <w:tr w:rsidR="00BA1CF9" w14:paraId="70C1A930" w14:textId="77777777">
        <w:trPr>
          <w:jc w:val="center"/>
        </w:trPr>
        <w:tc>
          <w:tcPr>
            <w:tcW w:w="4176" w:type="dxa"/>
            <w:vAlign w:val="center"/>
          </w:tcPr>
          <w:p w14:paraId="0D2394D3" w14:textId="77777777" w:rsidR="00BA1CF9" w:rsidRDefault="00000000">
            <w:pPr>
              <w:rPr>
                <w:rFonts w:hint="eastAsia"/>
              </w:rPr>
            </w:pPr>
            <w:r>
              <w:rPr>
                <w:sz w:val="17"/>
              </w:rPr>
              <w:t>cement_mortar_brick</w:t>
            </w:r>
          </w:p>
        </w:tc>
        <w:tc>
          <w:tcPr>
            <w:tcW w:w="2160" w:type="dxa"/>
            <w:vAlign w:val="center"/>
          </w:tcPr>
          <w:p w14:paraId="29111947" w14:textId="77777777" w:rsidR="00BA1CF9" w:rsidRDefault="00000000">
            <w:pPr>
              <w:rPr>
                <w:rFonts w:hint="eastAsia"/>
              </w:rPr>
            </w:pPr>
            <w:r>
              <w:rPr>
                <w:sz w:val="17"/>
              </w:rPr>
              <w:t>7.5%</w:t>
            </w:r>
          </w:p>
        </w:tc>
        <w:tc>
          <w:tcPr>
            <w:tcW w:w="2160" w:type="dxa"/>
            <w:vAlign w:val="center"/>
          </w:tcPr>
          <w:p w14:paraId="10037C3B" w14:textId="77777777" w:rsidR="00BA1CF9" w:rsidRDefault="00000000">
            <w:pPr>
              <w:rPr>
                <w:rFonts w:hint="eastAsia"/>
              </w:rPr>
            </w:pPr>
            <w:r>
              <w:rPr>
                <w:sz w:val="17"/>
              </w:rPr>
              <w:t>5.6%</w:t>
            </w:r>
          </w:p>
        </w:tc>
      </w:tr>
      <w:tr w:rsidR="00BA1CF9" w14:paraId="69925BBC" w14:textId="77777777">
        <w:trPr>
          <w:jc w:val="center"/>
        </w:trPr>
        <w:tc>
          <w:tcPr>
            <w:tcW w:w="4176" w:type="dxa"/>
            <w:vAlign w:val="center"/>
          </w:tcPr>
          <w:p w14:paraId="50849AC3" w14:textId="77777777" w:rsidR="00BA1CF9" w:rsidRDefault="00000000">
            <w:pPr>
              <w:rPr>
                <w:rFonts w:hint="eastAsia"/>
              </w:rPr>
            </w:pPr>
            <w:r>
              <w:rPr>
                <w:sz w:val="17"/>
              </w:rPr>
              <w:t>rc_engineered</w:t>
            </w:r>
          </w:p>
        </w:tc>
        <w:tc>
          <w:tcPr>
            <w:tcW w:w="2160" w:type="dxa"/>
            <w:vAlign w:val="center"/>
          </w:tcPr>
          <w:p w14:paraId="0A31FC4A" w14:textId="77777777" w:rsidR="00BA1CF9" w:rsidRDefault="00000000">
            <w:pPr>
              <w:rPr>
                <w:rFonts w:hint="eastAsia"/>
              </w:rPr>
            </w:pPr>
            <w:r>
              <w:rPr>
                <w:sz w:val="17"/>
              </w:rPr>
              <w:t>1.6%</w:t>
            </w:r>
          </w:p>
        </w:tc>
        <w:tc>
          <w:tcPr>
            <w:tcW w:w="2160" w:type="dxa"/>
            <w:vAlign w:val="center"/>
          </w:tcPr>
          <w:p w14:paraId="3AA8675E" w14:textId="77777777" w:rsidR="00BA1CF9" w:rsidRDefault="00000000">
            <w:pPr>
              <w:rPr>
                <w:rFonts w:hint="eastAsia"/>
              </w:rPr>
            </w:pPr>
            <w:r>
              <w:rPr>
                <w:sz w:val="17"/>
              </w:rPr>
              <w:t>1.8%</w:t>
            </w:r>
          </w:p>
        </w:tc>
      </w:tr>
    </w:tbl>
    <w:p w14:paraId="2ED62C4A" w14:textId="77777777" w:rsidR="00BA1CF9" w:rsidRDefault="00BA1CF9">
      <w:pPr>
        <w:rPr>
          <w:rFonts w:hint="eastAsia"/>
        </w:rPr>
      </w:pPr>
    </w:p>
    <w:p w14:paraId="696DE96C" w14:textId="77777777" w:rsidR="00BA1CF9" w:rsidRDefault="00000000">
      <w:pPr>
        <w:spacing w:after="100"/>
        <w:rPr>
          <w:rFonts w:hint="eastAsia"/>
        </w:rPr>
      </w:pPr>
      <w:r>
        <w:t>The largest observed Grade-3 rate occurs for stone_flag (47.29%), followed by mud_mortar_stone (38.20%) and adobe_mud (37.25%). At the opposite end, engineered reinforced concrete has a Grade-3 rate of only 1.81%, and cement_mortar_brick is also relatively low at 5.55%.</w:t>
      </w:r>
    </w:p>
    <w:p w14:paraId="38A0CC92" w14:textId="77777777" w:rsidR="00BA1CF9" w:rsidRDefault="00000000">
      <w:pPr>
        <w:spacing w:after="100"/>
        <w:rPr>
          <w:rFonts w:hint="eastAsia"/>
        </w:rPr>
      </w:pPr>
      <w:r>
        <w:t>The broad has_reinforced_concrete feature captures an important direction, while rc_category preserves the substantial difference between engineered and non-engineered RC. Material_count alone cannot represent these qualitative differences because the identity of the material matters more than the number of material flags.</w:t>
      </w:r>
    </w:p>
    <w:p w14:paraId="0BD4CBF1" w14:textId="77777777" w:rsidR="00BA1CF9" w:rsidRDefault="00000000">
      <w:pPr>
        <w:pStyle w:val="KeyFinding"/>
        <w:rPr>
          <w:rFonts w:hint="eastAsia"/>
        </w:rPr>
      </w:pPr>
      <w:r>
        <w:t>Key finding: Construction material is one of the most interpretable damage signals in the dataset, and engineered RC is associated with far lower observed severe-damage rates than mud- or stone-based structures.</w:t>
      </w:r>
    </w:p>
    <w:p w14:paraId="7DA09A4A" w14:textId="77777777" w:rsidR="00BA1CF9" w:rsidRDefault="00000000">
      <w:pPr>
        <w:pStyle w:val="21"/>
      </w:pPr>
      <w:r>
        <w:lastRenderedPageBreak/>
        <w:t>5.11 Number of Floors</w:t>
      </w:r>
    </w:p>
    <w:p w14:paraId="154BFC80" w14:textId="77777777" w:rsidR="00BA1CF9" w:rsidRDefault="00000000">
      <w:pPr>
        <w:jc w:val="center"/>
        <w:rPr>
          <w:rFonts w:hint="eastAsia"/>
        </w:rPr>
      </w:pPr>
      <w:r>
        <w:rPr>
          <w:noProof/>
        </w:rPr>
        <w:drawing>
          <wp:inline distT="0" distB="0" distL="0" distR="0" wp14:anchorId="46DDC2B0" wp14:editId="4482AFBB">
            <wp:extent cx="5989320" cy="43905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loors_damage.png"/>
                    <pic:cNvPicPr/>
                  </pic:nvPicPr>
                  <pic:blipFill>
                    <a:blip r:embed="rId20"/>
                    <a:stretch>
                      <a:fillRect/>
                    </a:stretch>
                  </pic:blipFill>
                  <pic:spPr>
                    <a:xfrm>
                      <a:off x="0" y="0"/>
                      <a:ext cx="5989320" cy="4390577"/>
                    </a:xfrm>
                    <a:prstGeom prst="rect">
                      <a:avLst/>
                    </a:prstGeom>
                  </pic:spPr>
                </pic:pic>
              </a:graphicData>
            </a:graphic>
          </wp:inline>
        </w:drawing>
      </w:r>
    </w:p>
    <w:p w14:paraId="1F227878" w14:textId="77777777" w:rsidR="00BA1CF9" w:rsidRDefault="00000000">
      <w:pPr>
        <w:pStyle w:val="FigureCaption"/>
        <w:jc w:val="center"/>
        <w:rPr>
          <w:rFonts w:hint="eastAsia"/>
        </w:rPr>
      </w:pPr>
      <w:r>
        <w:t>Figure 13. Damage-grade composition by number of floors before the earthquake.</w:t>
      </w:r>
    </w:p>
    <w:p w14:paraId="08744F64" w14:textId="77777777" w:rsidR="00BA1CF9" w:rsidRDefault="00000000">
      <w:pPr>
        <w:spacing w:after="100"/>
        <w:rPr>
          <w:rFonts w:hint="eastAsia"/>
        </w:rPr>
      </w:pPr>
      <w:r>
        <w:t>The relationship is clearly non-monotonic. Three-floor buildings have the highest observed Grade-3 rate at 44.23%, compared with 26.39% for one-floor buildings, 31.96% for two-floor buildings, 24.76% for four-floor buildings, and 21.55% for buildings with five or more floors.</w:t>
      </w:r>
    </w:p>
    <w:p w14:paraId="711660DA" w14:textId="77777777" w:rsidR="00BA1CF9" w:rsidRDefault="00000000">
      <w:pPr>
        <w:spacing w:after="100"/>
        <w:rPr>
          <w:rFonts w:hint="eastAsia"/>
        </w:rPr>
      </w:pPr>
      <w:r>
        <w:t>This pattern is a strong warning against assuming a simple linear effect of floor count. The risk associated with floors likely depends on foundation, material, height, and geography.</w:t>
      </w:r>
    </w:p>
    <w:p w14:paraId="028E8DE0" w14:textId="77777777" w:rsidR="00BA1CF9" w:rsidRDefault="00000000">
      <w:pPr>
        <w:pStyle w:val="KeyFinding"/>
        <w:rPr>
          <w:rFonts w:hint="eastAsia"/>
        </w:rPr>
      </w:pPr>
      <w:r>
        <w:t>Key finding: Floor count has a nonlinear relationship with damage, supporting interaction-capable models such as Random Forest, XGBoost, LightGBM, or CatBoost.</w:t>
      </w:r>
    </w:p>
    <w:p w14:paraId="31E57576" w14:textId="77777777" w:rsidR="00BA1CF9" w:rsidRDefault="00000000">
      <w:pPr>
        <w:pStyle w:val="21"/>
      </w:pPr>
      <w:r>
        <w:lastRenderedPageBreak/>
        <w:t>5.12 Height per Floor</w:t>
      </w:r>
    </w:p>
    <w:p w14:paraId="4AD7F45B" w14:textId="77777777" w:rsidR="00BA1CF9" w:rsidRDefault="00000000">
      <w:pPr>
        <w:jc w:val="center"/>
        <w:rPr>
          <w:rFonts w:hint="eastAsia"/>
        </w:rPr>
      </w:pPr>
      <w:r>
        <w:rPr>
          <w:noProof/>
        </w:rPr>
        <w:drawing>
          <wp:inline distT="0" distB="0" distL="0" distR="0" wp14:anchorId="649C71F2" wp14:editId="60CC4906">
            <wp:extent cx="5852160" cy="2797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height_per_floor.png"/>
                    <pic:cNvPicPr/>
                  </pic:nvPicPr>
                  <pic:blipFill>
                    <a:blip r:embed="rId21"/>
                    <a:stretch>
                      <a:fillRect/>
                    </a:stretch>
                  </pic:blipFill>
                  <pic:spPr>
                    <a:xfrm>
                      <a:off x="0" y="0"/>
                      <a:ext cx="5852160" cy="2797632"/>
                    </a:xfrm>
                    <a:prstGeom prst="rect">
                      <a:avLst/>
                    </a:prstGeom>
                  </pic:spPr>
                </pic:pic>
              </a:graphicData>
            </a:graphic>
          </wp:inline>
        </w:drawing>
      </w:r>
    </w:p>
    <w:p w14:paraId="59C61249" w14:textId="77777777" w:rsidR="00BA1CF9" w:rsidRDefault="00000000">
      <w:pPr>
        <w:pStyle w:val="FigureCaption"/>
        <w:jc w:val="center"/>
        <w:rPr>
          <w:rFonts w:hint="eastAsia"/>
        </w:rPr>
      </w:pPr>
      <w:r>
        <w:t>Figure 14. Distribution of height_per_floor and comparison across damage grades.</w:t>
      </w:r>
    </w:p>
    <w:p w14:paraId="1EB86273" w14:textId="77777777" w:rsidR="00BA1CF9" w:rsidRDefault="00000000">
      <w:pPr>
        <w:spacing w:after="100"/>
        <w:rPr>
          <w:rFonts w:hint="eastAsia"/>
        </w:rPr>
      </w:pPr>
      <w:r>
        <w:t>Mean height_per_floor declines from 2.843 for Grade 1 to 2.613 for Grade 2 and 2.565 for Grade 3. The median is 3.0 for Grade 1 and 2.5 for Grades 2 and 3. The distributions still overlap substantially, so this feature should be treated as a modest structural proxy rather than a standalone discriminator.</w:t>
      </w:r>
    </w:p>
    <w:p w14:paraId="22A586C8" w14:textId="77777777" w:rsidR="00BA1CF9" w:rsidRDefault="00000000">
      <w:pPr>
        <w:pStyle w:val="KeyFinding"/>
        <w:rPr>
          <w:rFonts w:hint="eastAsia"/>
        </w:rPr>
      </w:pPr>
      <w:r>
        <w:t>Key finding: height_per_floor adds a normalized structural view, though its class separation is moderate compared with foundation, material, or geography.</w:t>
      </w:r>
    </w:p>
    <w:p w14:paraId="4330788E" w14:textId="77777777" w:rsidR="00BA1CF9" w:rsidRDefault="00000000">
      <w:pPr>
        <w:pStyle w:val="21"/>
      </w:pPr>
      <w:r>
        <w:t>5.13 Families per Floor</w:t>
      </w:r>
    </w:p>
    <w:p w14:paraId="358DA785" w14:textId="77777777" w:rsidR="00BA1CF9" w:rsidRDefault="00000000">
      <w:pPr>
        <w:jc w:val="center"/>
        <w:rPr>
          <w:rFonts w:hint="eastAsia"/>
        </w:rPr>
      </w:pPr>
      <w:r>
        <w:rPr>
          <w:noProof/>
        </w:rPr>
        <w:drawing>
          <wp:inline distT="0" distB="0" distL="0" distR="0" wp14:anchorId="181A4B8A" wp14:editId="43D0B73D">
            <wp:extent cx="5852160" cy="27976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families_per_floor.png"/>
                    <pic:cNvPicPr/>
                  </pic:nvPicPr>
                  <pic:blipFill>
                    <a:blip r:embed="rId22"/>
                    <a:stretch>
                      <a:fillRect/>
                    </a:stretch>
                  </pic:blipFill>
                  <pic:spPr>
                    <a:xfrm>
                      <a:off x="0" y="0"/>
                      <a:ext cx="5852160" cy="2797632"/>
                    </a:xfrm>
                    <a:prstGeom prst="rect">
                      <a:avLst/>
                    </a:prstGeom>
                  </pic:spPr>
                </pic:pic>
              </a:graphicData>
            </a:graphic>
          </wp:inline>
        </w:drawing>
      </w:r>
    </w:p>
    <w:p w14:paraId="16605B2E" w14:textId="77777777" w:rsidR="00BA1CF9" w:rsidRDefault="00000000">
      <w:pPr>
        <w:pStyle w:val="FigureCaption"/>
        <w:jc w:val="center"/>
        <w:rPr>
          <w:rFonts w:hint="eastAsia"/>
        </w:rPr>
      </w:pPr>
      <w:r>
        <w:t>Figure 15. Distribution of families_per_floor and comparison across damage grades.</w:t>
      </w:r>
    </w:p>
    <w:p w14:paraId="0996C097" w14:textId="77777777" w:rsidR="00BA1CF9" w:rsidRDefault="00000000">
      <w:pPr>
        <w:spacing w:after="100"/>
        <w:rPr>
          <w:rFonts w:hint="eastAsia"/>
        </w:rPr>
      </w:pPr>
      <w:r>
        <w:t>Mean families_per_floor is 0.591 for Grade 1, 0.515 for Grade 2, and 0.504 for Grade 3. The medians are all close to 0.5, so the signal is relatively weak in isolation. Its main value is as a compact occupancy-density proxy that may interact with building size and floor count.</w:t>
      </w:r>
    </w:p>
    <w:p w14:paraId="77672244" w14:textId="77777777" w:rsidR="00BA1CF9" w:rsidRDefault="00000000">
      <w:pPr>
        <w:pStyle w:val="KeyFinding"/>
        <w:rPr>
          <w:rFonts w:hint="eastAsia"/>
        </w:rPr>
      </w:pPr>
      <w:r>
        <w:t>Key finding: families_per_floor is a candidate interaction feature rather than a dominant standalone predictor.</w:t>
      </w:r>
    </w:p>
    <w:p w14:paraId="4A9A7A7F" w14:textId="77777777" w:rsidR="00BA1CF9" w:rsidRDefault="00000000">
      <w:pPr>
        <w:pStyle w:val="21"/>
      </w:pPr>
      <w:r>
        <w:lastRenderedPageBreak/>
        <w:t>5.14 Geographic Heterogeneity</w:t>
      </w:r>
    </w:p>
    <w:p w14:paraId="235A3447" w14:textId="77777777" w:rsidR="00BA1CF9" w:rsidRDefault="00000000">
      <w:pPr>
        <w:jc w:val="center"/>
        <w:rPr>
          <w:rFonts w:hint="eastAsia"/>
        </w:rPr>
      </w:pPr>
      <w:r>
        <w:rPr>
          <w:noProof/>
        </w:rPr>
        <w:drawing>
          <wp:inline distT="0" distB="0" distL="0" distR="0" wp14:anchorId="39126B4A" wp14:editId="12AABE57">
            <wp:extent cx="5989320" cy="27190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geo_level1_grade3.png"/>
                    <pic:cNvPicPr/>
                  </pic:nvPicPr>
                  <pic:blipFill>
                    <a:blip r:embed="rId23"/>
                    <a:stretch>
                      <a:fillRect/>
                    </a:stretch>
                  </pic:blipFill>
                  <pic:spPr>
                    <a:xfrm>
                      <a:off x="0" y="0"/>
                      <a:ext cx="5989320" cy="2719094"/>
                    </a:xfrm>
                    <a:prstGeom prst="rect">
                      <a:avLst/>
                    </a:prstGeom>
                  </pic:spPr>
                </pic:pic>
              </a:graphicData>
            </a:graphic>
          </wp:inline>
        </w:drawing>
      </w:r>
    </w:p>
    <w:p w14:paraId="56944EF9" w14:textId="77777777" w:rsidR="00BA1CF9" w:rsidRDefault="00000000">
      <w:pPr>
        <w:pStyle w:val="FigureCaption"/>
        <w:jc w:val="center"/>
        <w:rPr>
          <w:rFonts w:hint="eastAsia"/>
        </w:rPr>
      </w:pPr>
      <w:r>
        <w:t>Figure 16. Observed Grade-3 damage rate by Geo Level 1. These target-based rates are used only for EDA.</w:t>
      </w:r>
    </w:p>
    <w:tbl>
      <w:tblPr>
        <w:tblStyle w:val="aff1"/>
        <w:tblW w:w="0" w:type="auto"/>
        <w:jc w:val="center"/>
        <w:tblLook w:val="04A0" w:firstRow="1" w:lastRow="0" w:firstColumn="1" w:lastColumn="0" w:noHBand="0" w:noVBand="1"/>
      </w:tblPr>
      <w:tblGrid>
        <w:gridCol w:w="2304"/>
        <w:gridCol w:w="2160"/>
        <w:gridCol w:w="2304"/>
      </w:tblGrid>
      <w:tr w:rsidR="00BA1CF9" w14:paraId="458EB713" w14:textId="77777777">
        <w:trPr>
          <w:jc w:val="center"/>
        </w:trPr>
        <w:tc>
          <w:tcPr>
            <w:tcW w:w="2304" w:type="dxa"/>
            <w:shd w:val="clear" w:color="auto" w:fill="D9EAF7"/>
            <w:vAlign w:val="center"/>
          </w:tcPr>
          <w:p w14:paraId="12A695BB" w14:textId="77777777" w:rsidR="00BA1CF9" w:rsidRDefault="00000000">
            <w:pPr>
              <w:rPr>
                <w:rFonts w:hint="eastAsia"/>
              </w:rPr>
            </w:pPr>
            <w:r>
              <w:rPr>
                <w:b/>
                <w:sz w:val="17"/>
              </w:rPr>
              <w:t>Geo Level 1</w:t>
            </w:r>
          </w:p>
        </w:tc>
        <w:tc>
          <w:tcPr>
            <w:tcW w:w="2160" w:type="dxa"/>
            <w:shd w:val="clear" w:color="auto" w:fill="D9EAF7"/>
            <w:vAlign w:val="center"/>
          </w:tcPr>
          <w:p w14:paraId="1BCAD04C" w14:textId="77777777" w:rsidR="00BA1CF9" w:rsidRDefault="00000000">
            <w:pPr>
              <w:rPr>
                <w:rFonts w:hint="eastAsia"/>
              </w:rPr>
            </w:pPr>
            <w:r>
              <w:rPr>
                <w:b/>
                <w:sz w:val="17"/>
              </w:rPr>
              <w:t>N</w:t>
            </w:r>
          </w:p>
        </w:tc>
        <w:tc>
          <w:tcPr>
            <w:tcW w:w="2304" w:type="dxa"/>
            <w:shd w:val="clear" w:color="auto" w:fill="D9EAF7"/>
            <w:vAlign w:val="center"/>
          </w:tcPr>
          <w:p w14:paraId="4EA5B146" w14:textId="77777777" w:rsidR="00BA1CF9" w:rsidRDefault="00000000">
            <w:pPr>
              <w:rPr>
                <w:rFonts w:hint="eastAsia"/>
              </w:rPr>
            </w:pPr>
            <w:r>
              <w:rPr>
                <w:b/>
                <w:sz w:val="17"/>
              </w:rPr>
              <w:t>Grade-3 rate</w:t>
            </w:r>
          </w:p>
        </w:tc>
      </w:tr>
      <w:tr w:rsidR="00BA1CF9" w14:paraId="70B357A5" w14:textId="77777777">
        <w:trPr>
          <w:jc w:val="center"/>
        </w:trPr>
        <w:tc>
          <w:tcPr>
            <w:tcW w:w="2304" w:type="dxa"/>
            <w:vAlign w:val="center"/>
          </w:tcPr>
          <w:p w14:paraId="0F123C48" w14:textId="77777777" w:rsidR="00BA1CF9" w:rsidRDefault="00000000">
            <w:pPr>
              <w:rPr>
                <w:rFonts w:hint="eastAsia"/>
              </w:rPr>
            </w:pPr>
            <w:r>
              <w:rPr>
                <w:sz w:val="17"/>
              </w:rPr>
              <w:t>17</w:t>
            </w:r>
          </w:p>
        </w:tc>
        <w:tc>
          <w:tcPr>
            <w:tcW w:w="2160" w:type="dxa"/>
            <w:vAlign w:val="center"/>
          </w:tcPr>
          <w:p w14:paraId="499F4A9B" w14:textId="77777777" w:rsidR="00BA1CF9" w:rsidRDefault="00000000">
            <w:pPr>
              <w:rPr>
                <w:rFonts w:hint="eastAsia"/>
              </w:rPr>
            </w:pPr>
            <w:r>
              <w:rPr>
                <w:sz w:val="17"/>
              </w:rPr>
              <w:t>21,813</w:t>
            </w:r>
          </w:p>
        </w:tc>
        <w:tc>
          <w:tcPr>
            <w:tcW w:w="2304" w:type="dxa"/>
            <w:vAlign w:val="center"/>
          </w:tcPr>
          <w:p w14:paraId="7EFDFBD7" w14:textId="77777777" w:rsidR="00BA1CF9" w:rsidRDefault="00000000">
            <w:pPr>
              <w:rPr>
                <w:rFonts w:hint="eastAsia"/>
              </w:rPr>
            </w:pPr>
            <w:r>
              <w:rPr>
                <w:sz w:val="17"/>
              </w:rPr>
              <w:t>80.75%</w:t>
            </w:r>
          </w:p>
        </w:tc>
      </w:tr>
      <w:tr w:rsidR="00BA1CF9" w14:paraId="564BA55E" w14:textId="77777777">
        <w:trPr>
          <w:jc w:val="center"/>
        </w:trPr>
        <w:tc>
          <w:tcPr>
            <w:tcW w:w="2304" w:type="dxa"/>
            <w:vAlign w:val="center"/>
          </w:tcPr>
          <w:p w14:paraId="2B364E8D" w14:textId="77777777" w:rsidR="00BA1CF9" w:rsidRDefault="00000000">
            <w:pPr>
              <w:rPr>
                <w:rFonts w:hint="eastAsia"/>
              </w:rPr>
            </w:pPr>
            <w:r>
              <w:rPr>
                <w:sz w:val="17"/>
              </w:rPr>
              <w:t>18</w:t>
            </w:r>
          </w:p>
        </w:tc>
        <w:tc>
          <w:tcPr>
            <w:tcW w:w="2160" w:type="dxa"/>
            <w:vAlign w:val="center"/>
          </w:tcPr>
          <w:p w14:paraId="5D704991" w14:textId="77777777" w:rsidR="00BA1CF9" w:rsidRDefault="00000000">
            <w:pPr>
              <w:rPr>
                <w:rFonts w:hint="eastAsia"/>
              </w:rPr>
            </w:pPr>
            <w:r>
              <w:rPr>
                <w:sz w:val="17"/>
              </w:rPr>
              <w:t>3,189</w:t>
            </w:r>
          </w:p>
        </w:tc>
        <w:tc>
          <w:tcPr>
            <w:tcW w:w="2304" w:type="dxa"/>
            <w:vAlign w:val="center"/>
          </w:tcPr>
          <w:p w14:paraId="37C3316B" w14:textId="77777777" w:rsidR="00BA1CF9" w:rsidRDefault="00000000">
            <w:pPr>
              <w:rPr>
                <w:rFonts w:hint="eastAsia"/>
              </w:rPr>
            </w:pPr>
            <w:r>
              <w:rPr>
                <w:sz w:val="17"/>
              </w:rPr>
              <w:t>73.10%</w:t>
            </w:r>
          </w:p>
        </w:tc>
      </w:tr>
      <w:tr w:rsidR="00BA1CF9" w14:paraId="56DCE35C" w14:textId="77777777">
        <w:trPr>
          <w:jc w:val="center"/>
        </w:trPr>
        <w:tc>
          <w:tcPr>
            <w:tcW w:w="2304" w:type="dxa"/>
            <w:vAlign w:val="center"/>
          </w:tcPr>
          <w:p w14:paraId="2F13FCA3" w14:textId="77777777" w:rsidR="00BA1CF9" w:rsidRDefault="00000000">
            <w:pPr>
              <w:rPr>
                <w:rFonts w:hint="eastAsia"/>
              </w:rPr>
            </w:pPr>
            <w:r>
              <w:rPr>
                <w:sz w:val="17"/>
              </w:rPr>
              <w:t>21</w:t>
            </w:r>
          </w:p>
        </w:tc>
        <w:tc>
          <w:tcPr>
            <w:tcW w:w="2160" w:type="dxa"/>
            <w:vAlign w:val="center"/>
          </w:tcPr>
          <w:p w14:paraId="2CCFCBDD" w14:textId="77777777" w:rsidR="00BA1CF9" w:rsidRDefault="00000000">
            <w:pPr>
              <w:rPr>
                <w:rFonts w:hint="eastAsia"/>
              </w:rPr>
            </w:pPr>
            <w:r>
              <w:rPr>
                <w:sz w:val="17"/>
              </w:rPr>
              <w:t>14,889</w:t>
            </w:r>
          </w:p>
        </w:tc>
        <w:tc>
          <w:tcPr>
            <w:tcW w:w="2304" w:type="dxa"/>
            <w:vAlign w:val="center"/>
          </w:tcPr>
          <w:p w14:paraId="3ACC9E2C" w14:textId="77777777" w:rsidR="00BA1CF9" w:rsidRDefault="00000000">
            <w:pPr>
              <w:rPr>
                <w:rFonts w:hint="eastAsia"/>
              </w:rPr>
            </w:pPr>
            <w:r>
              <w:rPr>
                <w:sz w:val="17"/>
              </w:rPr>
              <w:t>58.50%</w:t>
            </w:r>
          </w:p>
        </w:tc>
      </w:tr>
      <w:tr w:rsidR="00BA1CF9" w14:paraId="0E1AD5A9" w14:textId="77777777">
        <w:trPr>
          <w:jc w:val="center"/>
        </w:trPr>
        <w:tc>
          <w:tcPr>
            <w:tcW w:w="2304" w:type="dxa"/>
            <w:vAlign w:val="center"/>
          </w:tcPr>
          <w:p w14:paraId="730B3768" w14:textId="77777777" w:rsidR="00BA1CF9" w:rsidRDefault="00000000">
            <w:pPr>
              <w:rPr>
                <w:rFonts w:hint="eastAsia"/>
              </w:rPr>
            </w:pPr>
            <w:r>
              <w:rPr>
                <w:sz w:val="17"/>
              </w:rPr>
              <w:t>8</w:t>
            </w:r>
          </w:p>
        </w:tc>
        <w:tc>
          <w:tcPr>
            <w:tcW w:w="2160" w:type="dxa"/>
            <w:vAlign w:val="center"/>
          </w:tcPr>
          <w:p w14:paraId="10597BB5" w14:textId="77777777" w:rsidR="00BA1CF9" w:rsidRDefault="00000000">
            <w:pPr>
              <w:rPr>
                <w:rFonts w:hint="eastAsia"/>
              </w:rPr>
            </w:pPr>
            <w:r>
              <w:rPr>
                <w:sz w:val="17"/>
              </w:rPr>
              <w:t>19,080</w:t>
            </w:r>
          </w:p>
        </w:tc>
        <w:tc>
          <w:tcPr>
            <w:tcW w:w="2304" w:type="dxa"/>
            <w:vAlign w:val="center"/>
          </w:tcPr>
          <w:p w14:paraId="53EB8A05" w14:textId="77777777" w:rsidR="00BA1CF9" w:rsidRDefault="00000000">
            <w:pPr>
              <w:rPr>
                <w:rFonts w:hint="eastAsia"/>
              </w:rPr>
            </w:pPr>
            <w:r>
              <w:rPr>
                <w:sz w:val="17"/>
              </w:rPr>
              <w:t>51.95%</w:t>
            </w:r>
          </w:p>
        </w:tc>
      </w:tr>
      <w:tr w:rsidR="00BA1CF9" w14:paraId="6AAC07E5" w14:textId="77777777">
        <w:trPr>
          <w:jc w:val="center"/>
        </w:trPr>
        <w:tc>
          <w:tcPr>
            <w:tcW w:w="2304" w:type="dxa"/>
            <w:vAlign w:val="center"/>
          </w:tcPr>
          <w:p w14:paraId="368360D4" w14:textId="77777777" w:rsidR="00BA1CF9" w:rsidRDefault="00000000">
            <w:pPr>
              <w:rPr>
                <w:rFonts w:hint="eastAsia"/>
              </w:rPr>
            </w:pPr>
            <w:r>
              <w:rPr>
                <w:sz w:val="17"/>
              </w:rPr>
              <w:t>27</w:t>
            </w:r>
          </w:p>
        </w:tc>
        <w:tc>
          <w:tcPr>
            <w:tcW w:w="2160" w:type="dxa"/>
            <w:vAlign w:val="center"/>
          </w:tcPr>
          <w:p w14:paraId="692673D7" w14:textId="77777777" w:rsidR="00BA1CF9" w:rsidRDefault="00000000">
            <w:pPr>
              <w:rPr>
                <w:rFonts w:hint="eastAsia"/>
              </w:rPr>
            </w:pPr>
            <w:r>
              <w:rPr>
                <w:sz w:val="17"/>
              </w:rPr>
              <w:t>12,532</w:t>
            </w:r>
          </w:p>
        </w:tc>
        <w:tc>
          <w:tcPr>
            <w:tcW w:w="2304" w:type="dxa"/>
            <w:vAlign w:val="center"/>
          </w:tcPr>
          <w:p w14:paraId="0336DC3F" w14:textId="77777777" w:rsidR="00BA1CF9" w:rsidRDefault="00000000">
            <w:pPr>
              <w:rPr>
                <w:rFonts w:hint="eastAsia"/>
              </w:rPr>
            </w:pPr>
            <w:r>
              <w:rPr>
                <w:sz w:val="17"/>
              </w:rPr>
              <w:t>48.36%</w:t>
            </w:r>
          </w:p>
        </w:tc>
      </w:tr>
      <w:tr w:rsidR="00BA1CF9" w14:paraId="34F50183" w14:textId="77777777">
        <w:trPr>
          <w:jc w:val="center"/>
        </w:trPr>
        <w:tc>
          <w:tcPr>
            <w:tcW w:w="2304" w:type="dxa"/>
            <w:vAlign w:val="center"/>
          </w:tcPr>
          <w:p w14:paraId="64B7C012" w14:textId="77777777" w:rsidR="00BA1CF9" w:rsidRDefault="00000000">
            <w:pPr>
              <w:rPr>
                <w:rFonts w:hint="eastAsia"/>
              </w:rPr>
            </w:pPr>
            <w:r>
              <w:rPr>
                <w:sz w:val="17"/>
              </w:rPr>
              <w:t>5</w:t>
            </w:r>
          </w:p>
        </w:tc>
        <w:tc>
          <w:tcPr>
            <w:tcW w:w="2160" w:type="dxa"/>
            <w:vAlign w:val="center"/>
          </w:tcPr>
          <w:p w14:paraId="78506840" w14:textId="77777777" w:rsidR="00BA1CF9" w:rsidRDefault="00000000">
            <w:pPr>
              <w:rPr>
                <w:rFonts w:hint="eastAsia"/>
              </w:rPr>
            </w:pPr>
            <w:r>
              <w:rPr>
                <w:sz w:val="17"/>
              </w:rPr>
              <w:t>2,690</w:t>
            </w:r>
          </w:p>
        </w:tc>
        <w:tc>
          <w:tcPr>
            <w:tcW w:w="2304" w:type="dxa"/>
            <w:vAlign w:val="center"/>
          </w:tcPr>
          <w:p w14:paraId="3FBC46CD" w14:textId="77777777" w:rsidR="00BA1CF9" w:rsidRDefault="00000000">
            <w:pPr>
              <w:rPr>
                <w:rFonts w:hint="eastAsia"/>
              </w:rPr>
            </w:pPr>
            <w:r>
              <w:rPr>
                <w:sz w:val="17"/>
              </w:rPr>
              <w:t>8.55%</w:t>
            </w:r>
          </w:p>
        </w:tc>
      </w:tr>
      <w:tr w:rsidR="00BA1CF9" w14:paraId="0B8735EB" w14:textId="77777777">
        <w:trPr>
          <w:jc w:val="center"/>
        </w:trPr>
        <w:tc>
          <w:tcPr>
            <w:tcW w:w="2304" w:type="dxa"/>
            <w:vAlign w:val="center"/>
          </w:tcPr>
          <w:p w14:paraId="3647CCAB" w14:textId="77777777" w:rsidR="00BA1CF9" w:rsidRDefault="00000000">
            <w:pPr>
              <w:rPr>
                <w:rFonts w:hint="eastAsia"/>
              </w:rPr>
            </w:pPr>
            <w:r>
              <w:rPr>
                <w:sz w:val="17"/>
              </w:rPr>
              <w:t>26</w:t>
            </w:r>
          </w:p>
        </w:tc>
        <w:tc>
          <w:tcPr>
            <w:tcW w:w="2160" w:type="dxa"/>
            <w:vAlign w:val="center"/>
          </w:tcPr>
          <w:p w14:paraId="7B8379EF" w14:textId="77777777" w:rsidR="00BA1CF9" w:rsidRDefault="00000000">
            <w:pPr>
              <w:rPr>
                <w:rFonts w:hint="eastAsia"/>
              </w:rPr>
            </w:pPr>
            <w:r>
              <w:rPr>
                <w:sz w:val="17"/>
              </w:rPr>
              <w:t>22,615</w:t>
            </w:r>
          </w:p>
        </w:tc>
        <w:tc>
          <w:tcPr>
            <w:tcW w:w="2304" w:type="dxa"/>
            <w:vAlign w:val="center"/>
          </w:tcPr>
          <w:p w14:paraId="7DE9C067" w14:textId="77777777" w:rsidR="00BA1CF9" w:rsidRDefault="00000000">
            <w:pPr>
              <w:rPr>
                <w:rFonts w:hint="eastAsia"/>
              </w:rPr>
            </w:pPr>
            <w:r>
              <w:rPr>
                <w:sz w:val="17"/>
              </w:rPr>
              <w:t>8.59%</w:t>
            </w:r>
          </w:p>
        </w:tc>
      </w:tr>
      <w:tr w:rsidR="00BA1CF9" w14:paraId="494E23B5" w14:textId="77777777">
        <w:trPr>
          <w:jc w:val="center"/>
        </w:trPr>
        <w:tc>
          <w:tcPr>
            <w:tcW w:w="2304" w:type="dxa"/>
            <w:vAlign w:val="center"/>
          </w:tcPr>
          <w:p w14:paraId="5D2C2DA5" w14:textId="77777777" w:rsidR="00BA1CF9" w:rsidRDefault="00000000">
            <w:pPr>
              <w:rPr>
                <w:rFonts w:hint="eastAsia"/>
              </w:rPr>
            </w:pPr>
            <w:r>
              <w:rPr>
                <w:sz w:val="17"/>
              </w:rPr>
              <w:t>29</w:t>
            </w:r>
          </w:p>
        </w:tc>
        <w:tc>
          <w:tcPr>
            <w:tcW w:w="2160" w:type="dxa"/>
            <w:vAlign w:val="center"/>
          </w:tcPr>
          <w:p w14:paraId="02DFF267" w14:textId="77777777" w:rsidR="00BA1CF9" w:rsidRDefault="00000000">
            <w:pPr>
              <w:rPr>
                <w:rFonts w:hint="eastAsia"/>
              </w:rPr>
            </w:pPr>
            <w:r>
              <w:rPr>
                <w:sz w:val="17"/>
              </w:rPr>
              <w:t>396</w:t>
            </w:r>
          </w:p>
        </w:tc>
        <w:tc>
          <w:tcPr>
            <w:tcW w:w="2304" w:type="dxa"/>
            <w:vAlign w:val="center"/>
          </w:tcPr>
          <w:p w14:paraId="64631CA0" w14:textId="77777777" w:rsidR="00BA1CF9" w:rsidRDefault="00000000">
            <w:pPr>
              <w:rPr>
                <w:rFonts w:hint="eastAsia"/>
              </w:rPr>
            </w:pPr>
            <w:r>
              <w:rPr>
                <w:sz w:val="17"/>
              </w:rPr>
              <w:t>9.85%</w:t>
            </w:r>
          </w:p>
        </w:tc>
      </w:tr>
      <w:tr w:rsidR="00BA1CF9" w14:paraId="4B94219C" w14:textId="77777777">
        <w:trPr>
          <w:jc w:val="center"/>
        </w:trPr>
        <w:tc>
          <w:tcPr>
            <w:tcW w:w="2304" w:type="dxa"/>
            <w:vAlign w:val="center"/>
          </w:tcPr>
          <w:p w14:paraId="55BCB1B7" w14:textId="77777777" w:rsidR="00BA1CF9" w:rsidRDefault="00000000">
            <w:pPr>
              <w:rPr>
                <w:rFonts w:hint="eastAsia"/>
              </w:rPr>
            </w:pPr>
            <w:r>
              <w:rPr>
                <w:sz w:val="17"/>
              </w:rPr>
              <w:t>24</w:t>
            </w:r>
          </w:p>
        </w:tc>
        <w:tc>
          <w:tcPr>
            <w:tcW w:w="2160" w:type="dxa"/>
            <w:vAlign w:val="center"/>
          </w:tcPr>
          <w:p w14:paraId="42FAA6F3" w14:textId="77777777" w:rsidR="00BA1CF9" w:rsidRDefault="00000000">
            <w:pPr>
              <w:rPr>
                <w:rFonts w:hint="eastAsia"/>
              </w:rPr>
            </w:pPr>
            <w:r>
              <w:rPr>
                <w:sz w:val="17"/>
              </w:rPr>
              <w:t>1,310</w:t>
            </w:r>
          </w:p>
        </w:tc>
        <w:tc>
          <w:tcPr>
            <w:tcW w:w="2304" w:type="dxa"/>
            <w:vAlign w:val="center"/>
          </w:tcPr>
          <w:p w14:paraId="24E3A094" w14:textId="77777777" w:rsidR="00BA1CF9" w:rsidRDefault="00000000">
            <w:pPr>
              <w:rPr>
                <w:rFonts w:hint="eastAsia"/>
              </w:rPr>
            </w:pPr>
            <w:r>
              <w:rPr>
                <w:sz w:val="17"/>
              </w:rPr>
              <w:t>10.08%</w:t>
            </w:r>
          </w:p>
        </w:tc>
      </w:tr>
      <w:tr w:rsidR="00BA1CF9" w14:paraId="26D4B3B9" w14:textId="77777777">
        <w:trPr>
          <w:jc w:val="center"/>
        </w:trPr>
        <w:tc>
          <w:tcPr>
            <w:tcW w:w="2304" w:type="dxa"/>
            <w:vAlign w:val="center"/>
          </w:tcPr>
          <w:p w14:paraId="0CDA4154" w14:textId="77777777" w:rsidR="00BA1CF9" w:rsidRDefault="00000000">
            <w:pPr>
              <w:rPr>
                <w:rFonts w:hint="eastAsia"/>
              </w:rPr>
            </w:pPr>
            <w:r>
              <w:rPr>
                <w:sz w:val="17"/>
              </w:rPr>
              <w:t>1</w:t>
            </w:r>
          </w:p>
        </w:tc>
        <w:tc>
          <w:tcPr>
            <w:tcW w:w="2160" w:type="dxa"/>
            <w:vAlign w:val="center"/>
          </w:tcPr>
          <w:p w14:paraId="2C08FD52" w14:textId="77777777" w:rsidR="00BA1CF9" w:rsidRDefault="00000000">
            <w:pPr>
              <w:rPr>
                <w:rFonts w:hint="eastAsia"/>
              </w:rPr>
            </w:pPr>
            <w:r>
              <w:rPr>
                <w:sz w:val="17"/>
              </w:rPr>
              <w:t>2,701</w:t>
            </w:r>
          </w:p>
        </w:tc>
        <w:tc>
          <w:tcPr>
            <w:tcW w:w="2304" w:type="dxa"/>
            <w:vAlign w:val="center"/>
          </w:tcPr>
          <w:p w14:paraId="6FEB0967" w14:textId="77777777" w:rsidR="00BA1CF9" w:rsidRDefault="00000000">
            <w:pPr>
              <w:rPr>
                <w:rFonts w:hint="eastAsia"/>
              </w:rPr>
            </w:pPr>
            <w:r>
              <w:rPr>
                <w:sz w:val="17"/>
              </w:rPr>
              <w:t>11.29%</w:t>
            </w:r>
          </w:p>
        </w:tc>
      </w:tr>
    </w:tbl>
    <w:p w14:paraId="48FF8B0F" w14:textId="77777777" w:rsidR="00BA1CF9" w:rsidRDefault="00BA1CF9">
      <w:pPr>
        <w:rPr>
          <w:rFonts w:hint="eastAsia"/>
        </w:rPr>
      </w:pPr>
    </w:p>
    <w:p w14:paraId="0E86A9E6" w14:textId="77777777" w:rsidR="00BA1CF9" w:rsidRDefault="00000000">
      <w:pPr>
        <w:spacing w:after="100"/>
        <w:rPr>
          <w:rFonts w:hint="eastAsia"/>
        </w:rPr>
      </w:pPr>
      <w:r>
        <w:t>Geography is the strongest heterogeneity signal observed in the preprocessing stage. Across the 31 Geo Level-1 categories, the Grade-3 rate ranges from 8.55% to 80.75%. Geo Level 1 = 17 has 80.75% Grade-3 damage across 21,813 buildings, while Geo Level 1 = 5 has only 8.55% across 2,690 buildings.</w:t>
      </w:r>
    </w:p>
    <w:tbl>
      <w:tblPr>
        <w:tblStyle w:val="aff1"/>
        <w:tblW w:w="0" w:type="auto"/>
        <w:jc w:val="center"/>
        <w:tblLook w:val="04A0" w:firstRow="1" w:lastRow="0" w:firstColumn="1" w:lastColumn="0" w:noHBand="0" w:noVBand="1"/>
      </w:tblPr>
      <w:tblGrid>
        <w:gridCol w:w="2173"/>
        <w:gridCol w:w="1887"/>
        <w:gridCol w:w="2197"/>
        <w:gridCol w:w="2159"/>
        <w:gridCol w:w="2024"/>
      </w:tblGrid>
      <w:tr w:rsidR="00BA1CF9" w14:paraId="05326BC6" w14:textId="77777777">
        <w:trPr>
          <w:jc w:val="center"/>
        </w:trPr>
        <w:tc>
          <w:tcPr>
            <w:tcW w:w="2232" w:type="dxa"/>
            <w:shd w:val="clear" w:color="auto" w:fill="D9EAF7"/>
            <w:vAlign w:val="center"/>
          </w:tcPr>
          <w:p w14:paraId="5F30A229" w14:textId="77777777" w:rsidR="00BA1CF9" w:rsidRDefault="00000000">
            <w:pPr>
              <w:rPr>
                <w:rFonts w:hint="eastAsia"/>
              </w:rPr>
            </w:pPr>
            <w:r>
              <w:rPr>
                <w:b/>
                <w:sz w:val="17"/>
              </w:rPr>
              <w:t>Geographic field</w:t>
            </w:r>
          </w:p>
        </w:tc>
        <w:tc>
          <w:tcPr>
            <w:tcW w:w="1944" w:type="dxa"/>
            <w:shd w:val="clear" w:color="auto" w:fill="D9EAF7"/>
            <w:vAlign w:val="center"/>
          </w:tcPr>
          <w:p w14:paraId="67C9F547" w14:textId="77777777" w:rsidR="00BA1CF9" w:rsidRDefault="00000000">
            <w:pPr>
              <w:rPr>
                <w:rFonts w:hint="eastAsia"/>
              </w:rPr>
            </w:pPr>
            <w:r>
              <w:rPr>
                <w:b/>
                <w:sz w:val="17"/>
              </w:rPr>
              <w:t>Unique categories</w:t>
            </w:r>
          </w:p>
        </w:tc>
        <w:tc>
          <w:tcPr>
            <w:tcW w:w="2232" w:type="dxa"/>
            <w:shd w:val="clear" w:color="auto" w:fill="D9EAF7"/>
            <w:vAlign w:val="center"/>
          </w:tcPr>
          <w:p w14:paraId="49D3A4B2" w14:textId="77777777" w:rsidR="00BA1CF9" w:rsidRDefault="00000000">
            <w:pPr>
              <w:rPr>
                <w:rFonts w:hint="eastAsia"/>
              </w:rPr>
            </w:pPr>
            <w:r>
              <w:rPr>
                <w:b/>
                <w:sz w:val="17"/>
              </w:rPr>
              <w:t>Median buildings/category</w:t>
            </w:r>
          </w:p>
        </w:tc>
        <w:tc>
          <w:tcPr>
            <w:tcW w:w="2232" w:type="dxa"/>
            <w:shd w:val="clear" w:color="auto" w:fill="D9EAF7"/>
            <w:vAlign w:val="center"/>
          </w:tcPr>
          <w:p w14:paraId="57621CD3" w14:textId="77777777" w:rsidR="00BA1CF9" w:rsidRDefault="00000000">
            <w:pPr>
              <w:rPr>
                <w:rFonts w:hint="eastAsia"/>
              </w:rPr>
            </w:pPr>
            <w:r>
              <w:rPr>
                <w:b/>
                <w:sz w:val="17"/>
              </w:rPr>
              <w:t>Categories &lt;20 buildings</w:t>
            </w:r>
          </w:p>
        </w:tc>
        <w:tc>
          <w:tcPr>
            <w:tcW w:w="2088" w:type="dxa"/>
            <w:shd w:val="clear" w:color="auto" w:fill="D9EAF7"/>
            <w:vAlign w:val="center"/>
          </w:tcPr>
          <w:p w14:paraId="69F8B486" w14:textId="77777777" w:rsidR="00BA1CF9" w:rsidRDefault="00000000">
            <w:pPr>
              <w:rPr>
                <w:rFonts w:hint="eastAsia"/>
              </w:rPr>
            </w:pPr>
            <w:r>
              <w:rPr>
                <w:b/>
                <w:sz w:val="17"/>
              </w:rPr>
              <w:t>Categories &lt;5 buildings</w:t>
            </w:r>
          </w:p>
        </w:tc>
      </w:tr>
      <w:tr w:rsidR="00BA1CF9" w14:paraId="78CBBBB0" w14:textId="77777777">
        <w:trPr>
          <w:jc w:val="center"/>
        </w:trPr>
        <w:tc>
          <w:tcPr>
            <w:tcW w:w="2232" w:type="dxa"/>
            <w:vAlign w:val="center"/>
          </w:tcPr>
          <w:p w14:paraId="7A5D3E67" w14:textId="77777777" w:rsidR="00BA1CF9" w:rsidRDefault="00000000">
            <w:pPr>
              <w:rPr>
                <w:rFonts w:hint="eastAsia"/>
              </w:rPr>
            </w:pPr>
            <w:r>
              <w:rPr>
                <w:sz w:val="17"/>
              </w:rPr>
              <w:t>geo_level_1_id</w:t>
            </w:r>
          </w:p>
        </w:tc>
        <w:tc>
          <w:tcPr>
            <w:tcW w:w="1944" w:type="dxa"/>
            <w:vAlign w:val="center"/>
          </w:tcPr>
          <w:p w14:paraId="662FED73" w14:textId="77777777" w:rsidR="00BA1CF9" w:rsidRDefault="00000000">
            <w:pPr>
              <w:rPr>
                <w:rFonts w:hint="eastAsia"/>
              </w:rPr>
            </w:pPr>
            <w:r>
              <w:rPr>
                <w:sz w:val="17"/>
              </w:rPr>
              <w:t>31</w:t>
            </w:r>
          </w:p>
        </w:tc>
        <w:tc>
          <w:tcPr>
            <w:tcW w:w="2232" w:type="dxa"/>
            <w:vAlign w:val="center"/>
          </w:tcPr>
          <w:p w14:paraId="57B554AE" w14:textId="77777777" w:rsidR="00BA1CF9" w:rsidRDefault="00000000">
            <w:pPr>
              <w:rPr>
                <w:rFonts w:hint="eastAsia"/>
              </w:rPr>
            </w:pPr>
            <w:r>
              <w:rPr>
                <w:sz w:val="17"/>
              </w:rPr>
              <w:t>4332.0</w:t>
            </w:r>
          </w:p>
        </w:tc>
        <w:tc>
          <w:tcPr>
            <w:tcW w:w="2232" w:type="dxa"/>
            <w:vAlign w:val="center"/>
          </w:tcPr>
          <w:p w14:paraId="627E735F" w14:textId="77777777" w:rsidR="00BA1CF9" w:rsidRDefault="00000000">
            <w:pPr>
              <w:rPr>
                <w:rFonts w:hint="eastAsia"/>
              </w:rPr>
            </w:pPr>
            <w:r>
              <w:rPr>
                <w:sz w:val="17"/>
              </w:rPr>
              <w:t>0</w:t>
            </w:r>
          </w:p>
        </w:tc>
        <w:tc>
          <w:tcPr>
            <w:tcW w:w="2088" w:type="dxa"/>
            <w:vAlign w:val="center"/>
          </w:tcPr>
          <w:p w14:paraId="281CED63" w14:textId="77777777" w:rsidR="00BA1CF9" w:rsidRDefault="00000000">
            <w:pPr>
              <w:rPr>
                <w:rFonts w:hint="eastAsia"/>
              </w:rPr>
            </w:pPr>
            <w:r>
              <w:rPr>
                <w:sz w:val="17"/>
              </w:rPr>
              <w:t>0</w:t>
            </w:r>
          </w:p>
        </w:tc>
      </w:tr>
      <w:tr w:rsidR="00BA1CF9" w14:paraId="695880B3" w14:textId="77777777">
        <w:trPr>
          <w:jc w:val="center"/>
        </w:trPr>
        <w:tc>
          <w:tcPr>
            <w:tcW w:w="2232" w:type="dxa"/>
            <w:vAlign w:val="center"/>
          </w:tcPr>
          <w:p w14:paraId="3AEC4F24" w14:textId="77777777" w:rsidR="00BA1CF9" w:rsidRDefault="00000000">
            <w:pPr>
              <w:rPr>
                <w:rFonts w:hint="eastAsia"/>
              </w:rPr>
            </w:pPr>
            <w:r>
              <w:rPr>
                <w:sz w:val="17"/>
              </w:rPr>
              <w:t>geo_level_2_id</w:t>
            </w:r>
          </w:p>
        </w:tc>
        <w:tc>
          <w:tcPr>
            <w:tcW w:w="1944" w:type="dxa"/>
            <w:vAlign w:val="center"/>
          </w:tcPr>
          <w:p w14:paraId="16A4E9D4" w14:textId="77777777" w:rsidR="00BA1CF9" w:rsidRDefault="00000000">
            <w:pPr>
              <w:rPr>
                <w:rFonts w:hint="eastAsia"/>
              </w:rPr>
            </w:pPr>
            <w:r>
              <w:rPr>
                <w:sz w:val="17"/>
              </w:rPr>
              <w:t>1,414</w:t>
            </w:r>
          </w:p>
        </w:tc>
        <w:tc>
          <w:tcPr>
            <w:tcW w:w="2232" w:type="dxa"/>
            <w:vAlign w:val="center"/>
          </w:tcPr>
          <w:p w14:paraId="4FAB2402" w14:textId="77777777" w:rsidR="00BA1CF9" w:rsidRDefault="00000000">
            <w:pPr>
              <w:rPr>
                <w:rFonts w:hint="eastAsia"/>
              </w:rPr>
            </w:pPr>
            <w:r>
              <w:rPr>
                <w:sz w:val="17"/>
              </w:rPr>
              <w:t>120.5</w:t>
            </w:r>
          </w:p>
        </w:tc>
        <w:tc>
          <w:tcPr>
            <w:tcW w:w="2232" w:type="dxa"/>
            <w:vAlign w:val="center"/>
          </w:tcPr>
          <w:p w14:paraId="73915131" w14:textId="77777777" w:rsidR="00BA1CF9" w:rsidRDefault="00000000">
            <w:pPr>
              <w:rPr>
                <w:rFonts w:hint="eastAsia"/>
              </w:rPr>
            </w:pPr>
            <w:r>
              <w:rPr>
                <w:sz w:val="17"/>
              </w:rPr>
              <w:t>278</w:t>
            </w:r>
          </w:p>
        </w:tc>
        <w:tc>
          <w:tcPr>
            <w:tcW w:w="2088" w:type="dxa"/>
            <w:vAlign w:val="center"/>
          </w:tcPr>
          <w:p w14:paraId="28E4B74B" w14:textId="77777777" w:rsidR="00BA1CF9" w:rsidRDefault="00000000">
            <w:pPr>
              <w:rPr>
                <w:rFonts w:hint="eastAsia"/>
              </w:rPr>
            </w:pPr>
            <w:r>
              <w:rPr>
                <w:sz w:val="17"/>
              </w:rPr>
              <w:t>80</w:t>
            </w:r>
          </w:p>
        </w:tc>
      </w:tr>
      <w:tr w:rsidR="00BA1CF9" w14:paraId="7B826EE2" w14:textId="77777777">
        <w:trPr>
          <w:jc w:val="center"/>
        </w:trPr>
        <w:tc>
          <w:tcPr>
            <w:tcW w:w="2232" w:type="dxa"/>
            <w:vAlign w:val="center"/>
          </w:tcPr>
          <w:p w14:paraId="034E45AC" w14:textId="77777777" w:rsidR="00BA1CF9" w:rsidRDefault="00000000">
            <w:pPr>
              <w:rPr>
                <w:rFonts w:hint="eastAsia"/>
              </w:rPr>
            </w:pPr>
            <w:r>
              <w:rPr>
                <w:sz w:val="17"/>
              </w:rPr>
              <w:t>geo_level_3_id</w:t>
            </w:r>
          </w:p>
        </w:tc>
        <w:tc>
          <w:tcPr>
            <w:tcW w:w="1944" w:type="dxa"/>
            <w:vAlign w:val="center"/>
          </w:tcPr>
          <w:p w14:paraId="6CD38783" w14:textId="77777777" w:rsidR="00BA1CF9" w:rsidRDefault="00000000">
            <w:pPr>
              <w:rPr>
                <w:rFonts w:hint="eastAsia"/>
              </w:rPr>
            </w:pPr>
            <w:r>
              <w:rPr>
                <w:sz w:val="17"/>
              </w:rPr>
              <w:t>11,595</w:t>
            </w:r>
          </w:p>
        </w:tc>
        <w:tc>
          <w:tcPr>
            <w:tcW w:w="2232" w:type="dxa"/>
            <w:vAlign w:val="center"/>
          </w:tcPr>
          <w:p w14:paraId="0A0296FE" w14:textId="77777777" w:rsidR="00BA1CF9" w:rsidRDefault="00000000">
            <w:pPr>
              <w:rPr>
                <w:rFonts w:hint="eastAsia"/>
              </w:rPr>
            </w:pPr>
            <w:r>
              <w:rPr>
                <w:sz w:val="17"/>
              </w:rPr>
              <w:t>14.0</w:t>
            </w:r>
          </w:p>
        </w:tc>
        <w:tc>
          <w:tcPr>
            <w:tcW w:w="2232" w:type="dxa"/>
            <w:vAlign w:val="center"/>
          </w:tcPr>
          <w:p w14:paraId="20675622" w14:textId="77777777" w:rsidR="00BA1CF9" w:rsidRDefault="00000000">
            <w:pPr>
              <w:rPr>
                <w:rFonts w:hint="eastAsia"/>
              </w:rPr>
            </w:pPr>
            <w:r>
              <w:rPr>
                <w:sz w:val="17"/>
              </w:rPr>
              <w:t>6,974</w:t>
            </w:r>
          </w:p>
        </w:tc>
        <w:tc>
          <w:tcPr>
            <w:tcW w:w="2088" w:type="dxa"/>
            <w:vAlign w:val="center"/>
          </w:tcPr>
          <w:p w14:paraId="3760113F" w14:textId="77777777" w:rsidR="00BA1CF9" w:rsidRDefault="00000000">
            <w:pPr>
              <w:rPr>
                <w:rFonts w:hint="eastAsia"/>
              </w:rPr>
            </w:pPr>
            <w:r>
              <w:rPr>
                <w:sz w:val="17"/>
              </w:rPr>
              <w:t>2,783</w:t>
            </w:r>
          </w:p>
        </w:tc>
      </w:tr>
    </w:tbl>
    <w:p w14:paraId="55E4BB80" w14:textId="77777777" w:rsidR="00BA1CF9" w:rsidRDefault="00BA1CF9">
      <w:pPr>
        <w:rPr>
          <w:rFonts w:hint="eastAsia"/>
        </w:rPr>
      </w:pPr>
    </w:p>
    <w:p w14:paraId="42FA10D1" w14:textId="77777777" w:rsidR="00BA1CF9" w:rsidRDefault="00000000">
      <w:pPr>
        <w:spacing w:after="100"/>
        <w:rPr>
          <w:rFonts w:hint="eastAsia"/>
        </w:rPr>
      </w:pPr>
      <w:r>
        <w:t>The finer geographic levels are high-cardinality and sparse: Geo Level 3 has 11,595 observed categories, a median of only 14 buildings per category, and thousands of very small groups. Direct one-hot encoding is therefore expensive and potentially brittle. CatBoost or carefully regularized/fold-safe encodings are better candidates for these fields.</w:t>
      </w:r>
    </w:p>
    <w:p w14:paraId="0E63EA4F" w14:textId="77777777" w:rsidR="00BA1CF9" w:rsidRDefault="00000000">
      <w:pPr>
        <w:spacing w:after="100"/>
        <w:rPr>
          <w:rFonts w:hint="eastAsia"/>
        </w:rPr>
      </w:pPr>
      <w:r>
        <w:t>Because geography is so predictive, random validation can overstate how well a model transfers to completely unseen regions. A geographic holdout or GroupKFold experiment should be included later to measure true geographic generalization.</w:t>
      </w:r>
    </w:p>
    <w:p w14:paraId="2A209E02" w14:textId="77777777" w:rsidR="00BA1CF9" w:rsidRDefault="00000000">
      <w:pPr>
        <w:pStyle w:val="KeyFinding"/>
        <w:rPr>
          <w:rFonts w:hint="eastAsia"/>
        </w:rPr>
      </w:pPr>
      <w:r>
        <w:t>Key finding: Location carries extremely strong predictive information. The modeling stage should separate geographic memorization from transferable structural vulnerability.</w:t>
      </w:r>
    </w:p>
    <w:p w14:paraId="405A8D3E" w14:textId="77777777" w:rsidR="00BA1CF9" w:rsidRDefault="00000000">
      <w:pPr>
        <w:pStyle w:val="1"/>
      </w:pPr>
      <w:r>
        <w:lastRenderedPageBreak/>
        <w:t>6. Consolidated Conclusions from Preprocessing and EDA</w:t>
      </w:r>
    </w:p>
    <w:p w14:paraId="6CE9472E" w14:textId="77777777" w:rsidR="00BA1CF9" w:rsidRDefault="00000000">
      <w:pPr>
        <w:pStyle w:val="a0"/>
        <w:rPr>
          <w:rFonts w:hint="eastAsia"/>
        </w:rPr>
      </w:pPr>
      <w:r>
        <w:rPr>
          <w:b/>
        </w:rPr>
        <w:t xml:space="preserve">The dataset is clean and internally consistent. </w:t>
      </w:r>
      <w:r>
        <w:t>No missing-value repair or row deletion is required at the preprocessing stage. The main work is correct variable representation, feature engineering, and leakage prevention.</w:t>
      </w:r>
    </w:p>
    <w:p w14:paraId="4C5CB0BD" w14:textId="77777777" w:rsidR="00BA1CF9" w:rsidRDefault="00000000">
      <w:pPr>
        <w:pStyle w:val="a0"/>
        <w:rPr>
          <w:rFonts w:hint="eastAsia"/>
        </w:rPr>
      </w:pPr>
      <w:r>
        <w:rPr>
          <w:b/>
        </w:rPr>
        <w:t xml:space="preserve">The target is imbalanced. </w:t>
      </w:r>
      <w:r>
        <w:t>Grade 2 dominates the sample, so macro F1 and per-class metrics are necessary alongside the official micro F1.</w:t>
      </w:r>
    </w:p>
    <w:p w14:paraId="1AF51469" w14:textId="77777777" w:rsidR="00BA1CF9" w:rsidRDefault="00000000">
      <w:pPr>
        <w:pStyle w:val="a0"/>
        <w:rPr>
          <w:rFonts w:hint="eastAsia"/>
        </w:rPr>
      </w:pPr>
      <w:r>
        <w:rPr>
          <w:b/>
        </w:rPr>
        <w:t xml:space="preserve">Damage patterns are strongly nonlinear. </w:t>
      </w:r>
      <w:r>
        <w:t>Floor count, age, and structural variables do not follow simple monotonic relationships. Interaction-capable tree ensembles are therefore well motivated.</w:t>
      </w:r>
    </w:p>
    <w:p w14:paraId="471CBA24" w14:textId="77777777" w:rsidR="00BA1CF9" w:rsidRDefault="00000000">
      <w:pPr>
        <w:pStyle w:val="a0"/>
        <w:rPr>
          <w:rFonts w:hint="eastAsia"/>
        </w:rPr>
      </w:pPr>
      <w:r>
        <w:rPr>
          <w:b/>
        </w:rPr>
        <w:t xml:space="preserve">Foundation, roof, and material are high-value structural predictors. </w:t>
      </w:r>
      <w:r>
        <w:t>The observed severe-damage rates differ sharply across these categories, with especially strong contrast between mud/stone structures and engineered RC.</w:t>
      </w:r>
    </w:p>
    <w:p w14:paraId="341DC12F" w14:textId="77777777" w:rsidR="00BA1CF9" w:rsidRDefault="00000000">
      <w:pPr>
        <w:pStyle w:val="a0"/>
        <w:rPr>
          <w:rFonts w:hint="eastAsia"/>
        </w:rPr>
      </w:pPr>
      <w:r>
        <w:rPr>
          <w:b/>
        </w:rPr>
        <w:t xml:space="preserve">Age contains both genuine signal and a special code. </w:t>
      </w:r>
      <w:r>
        <w:t>Ordinary age bands show increasing severe damage, while age = 995 must be isolated so that it does not distort the high-age tail.</w:t>
      </w:r>
    </w:p>
    <w:p w14:paraId="7488F433" w14:textId="77777777" w:rsidR="00BA1CF9" w:rsidRDefault="00000000">
      <w:pPr>
        <w:pStyle w:val="a0"/>
        <w:rPr>
          <w:rFonts w:hint="eastAsia"/>
        </w:rPr>
      </w:pPr>
      <w:r>
        <w:rPr>
          <w:b/>
        </w:rPr>
        <w:t xml:space="preserve">Geography is a dominant source of heterogeneity. </w:t>
      </w:r>
      <w:r>
        <w:t>Geo Level-1 severe-damage rates range from 8.55% to 80.75%. This motivates geography-aware validation and feature ablation.</w:t>
      </w:r>
    </w:p>
    <w:p w14:paraId="450D3759" w14:textId="77777777" w:rsidR="00BA1CF9" w:rsidRDefault="00000000">
      <w:pPr>
        <w:pStyle w:val="a0"/>
        <w:rPr>
          <w:rFonts w:hint="eastAsia"/>
        </w:rPr>
      </w:pPr>
      <w:r>
        <w:rPr>
          <w:b/>
        </w:rPr>
        <w:t xml:space="preserve">The supplementary features improve representation. </w:t>
      </w:r>
      <w:r>
        <w:t>secondary_use_count, area_per_family, rc_category, and age_group retain distinctions that are compressed in the original variables and are ready for ablation testing during modeling.</w:t>
      </w:r>
    </w:p>
    <w:p w14:paraId="27111DB0" w14:textId="77777777" w:rsidR="00BA1CF9" w:rsidRDefault="00000000">
      <w:pPr>
        <w:pStyle w:val="1"/>
      </w:pPr>
      <w:r>
        <w:t>7. Handoff to Modeling</w:t>
      </w:r>
    </w:p>
    <w:p w14:paraId="56AC9FEF" w14:textId="77777777" w:rsidR="00BA1CF9" w:rsidRDefault="00000000">
      <w:pPr>
        <w:spacing w:after="100"/>
        <w:rPr>
          <w:rFonts w:hint="eastAsia"/>
        </w:rPr>
      </w:pPr>
      <w:r>
        <w:t>The preprocessing stage now produces a consolidated modeling table while preserving the original raw files and the original processed outputs. The recommended modeling workflow is:</w:t>
      </w:r>
    </w:p>
    <w:p w14:paraId="37807A1A" w14:textId="77777777" w:rsidR="00BA1CF9" w:rsidRDefault="00000000">
      <w:pPr>
        <w:pStyle w:val="a"/>
        <w:rPr>
          <w:rFonts w:hint="eastAsia"/>
        </w:rPr>
      </w:pPr>
      <w:r>
        <w:t>Use building_id only as an identifier and remove it from X immediately before model fitting.</w:t>
      </w:r>
    </w:p>
    <w:p w14:paraId="56D90EF6" w14:textId="77777777" w:rsidR="00BA1CF9" w:rsidRDefault="00000000">
      <w:pPr>
        <w:pStyle w:val="a"/>
        <w:rPr>
          <w:rFonts w:hint="eastAsia"/>
        </w:rPr>
      </w:pPr>
      <w:r>
        <w:t>Use the fixed stratified 80/20 split for a common benchmark, with all learned preprocessing fit on X_train only.</w:t>
      </w:r>
    </w:p>
    <w:p w14:paraId="601FD333" w14:textId="77777777" w:rsidR="00BA1CF9" w:rsidRDefault="00000000">
      <w:pPr>
        <w:pStyle w:val="a"/>
        <w:rPr>
          <w:rFonts w:hint="eastAsia"/>
        </w:rPr>
      </w:pPr>
      <w:r>
        <w:t>Start with a majority-class baseline and a simple linear or tree baseline, then compare Random Forest and gradient-boosting models.</w:t>
      </w:r>
    </w:p>
    <w:p w14:paraId="3FF63194" w14:textId="77777777" w:rsidR="00BA1CF9" w:rsidRDefault="00000000">
      <w:pPr>
        <w:pStyle w:val="a"/>
        <w:rPr>
          <w:rFonts w:hint="eastAsia"/>
        </w:rPr>
      </w:pPr>
      <w:r>
        <w:t>For high-cardinality categorical geography, prioritize CatBoost or another method that handles categories safely.</w:t>
      </w:r>
    </w:p>
    <w:p w14:paraId="62D8E3BD" w14:textId="77777777" w:rsidR="00BA1CF9" w:rsidRDefault="00000000">
      <w:pPr>
        <w:pStyle w:val="a"/>
        <w:rPr>
          <w:rFonts w:hint="eastAsia"/>
        </w:rPr>
      </w:pPr>
      <w:r>
        <w:t>Report micro F1, macro F1, per-class precision/recall/F1, and a confusion matrix. Grade-3 recall is especially useful for severe-damage detection.</w:t>
      </w:r>
    </w:p>
    <w:p w14:paraId="35A5B5DC" w14:textId="77777777" w:rsidR="00BA1CF9" w:rsidRDefault="00000000">
      <w:pPr>
        <w:pStyle w:val="a"/>
        <w:rPr>
          <w:rFonts w:hint="eastAsia"/>
        </w:rPr>
      </w:pPr>
      <w:r>
        <w:t>Run an ablation comparing the original preprocessing feature set against the supplemented feature set to measure whether the additional engineering contributes predictive value.</w:t>
      </w:r>
    </w:p>
    <w:p w14:paraId="313E777D" w14:textId="77777777" w:rsidR="00BA1CF9" w:rsidRDefault="00000000">
      <w:pPr>
        <w:pStyle w:val="a"/>
        <w:rPr>
          <w:rFonts w:hint="eastAsia"/>
        </w:rPr>
      </w:pPr>
      <w:r>
        <w:t>Run Geography Only, Structure Only, and Full Model experiments to quantify where predictive power comes from.</w:t>
      </w:r>
    </w:p>
    <w:p w14:paraId="447AC396" w14:textId="77777777" w:rsidR="00BA1CF9" w:rsidRDefault="00000000">
      <w:pPr>
        <w:pStyle w:val="a"/>
        <w:rPr>
          <w:rFonts w:hint="eastAsia"/>
        </w:rPr>
      </w:pPr>
      <w:r>
        <w:t>Compare ordinary random validation with a geographic holdout or GroupKFold setup to test transfer to unseen regions.</w:t>
      </w:r>
    </w:p>
    <w:p w14:paraId="34AE2EC7" w14:textId="77777777" w:rsidR="00BA1CF9" w:rsidRDefault="00000000">
      <w:pPr>
        <w:pStyle w:val="KeyFinding"/>
        <w:rPr>
          <w:rFonts w:hint="eastAsia"/>
        </w:rPr>
      </w:pPr>
      <w:r>
        <w:t>Key finding: The core modeling question should extend beyond leaderboard performance: how much of earthquake-damage predictability comes from location, and how much comes from structural vulnerability that transfers across regions?</w:t>
      </w:r>
    </w:p>
    <w:p w14:paraId="1945679B" w14:textId="77777777" w:rsidR="00BA1CF9" w:rsidRDefault="00000000">
      <w:pPr>
        <w:pStyle w:val="1"/>
      </w:pPr>
      <w:r>
        <w:t>8. Interpretation Limits</w:t>
      </w:r>
    </w:p>
    <w:p w14:paraId="16A45A96" w14:textId="77777777" w:rsidR="00BA1CF9" w:rsidRDefault="00000000">
      <w:pPr>
        <w:pStyle w:val="a0"/>
        <w:rPr>
          <w:rFonts w:hint="eastAsia"/>
        </w:rPr>
      </w:pPr>
      <w:r>
        <w:t>All EDA relationships are observational associations. They do not establish causal effects of construction choices, secondary use, or geography on damage.</w:t>
      </w:r>
    </w:p>
    <w:p w14:paraId="3A33E597" w14:textId="77777777" w:rsidR="00BA1CF9" w:rsidRDefault="00000000">
      <w:pPr>
        <w:pStyle w:val="a0"/>
        <w:rPr>
          <w:rFonts w:hint="eastAsia"/>
        </w:rPr>
      </w:pPr>
      <w:r>
        <w:t>Geographic damage rates are computed from the target and must remain outside the feature matrix unless a leakage-safe out-of-fold encoding is designed.</w:t>
      </w:r>
    </w:p>
    <w:p w14:paraId="73FB9510" w14:textId="77777777" w:rsidR="00BA1CF9" w:rsidRDefault="00000000">
      <w:pPr>
        <w:pStyle w:val="a0"/>
        <w:rPr>
          <w:rFonts w:hint="eastAsia"/>
        </w:rPr>
      </w:pPr>
      <w:r>
        <w:t>The meaning of age = 995 is not established by the supplied project files. The current pipeline preserves and flags it rather than assuming a specific semantic interpretation.</w:t>
      </w:r>
    </w:p>
    <w:p w14:paraId="15928465" w14:textId="77777777" w:rsidR="00BA1CF9" w:rsidRDefault="00000000">
      <w:pPr>
        <w:pStyle w:val="a0"/>
        <w:rPr>
          <w:rFonts w:hint="eastAsia"/>
        </w:rPr>
      </w:pPr>
      <w:r>
        <w:lastRenderedPageBreak/>
        <w:t>Rare categories at Geo Level 2 and especially Geo Level 3 can produce unstable raw group-level rates. Sparse-group summaries should be interpreted cautiously.</w:t>
      </w:r>
    </w:p>
    <w:p w14:paraId="30EDDAA7" w14:textId="77777777" w:rsidR="00BA1CF9" w:rsidRDefault="00000000">
      <w:pPr>
        <w:pStyle w:val="a0"/>
        <w:rPr>
          <w:rFonts w:hint="eastAsia"/>
        </w:rPr>
      </w:pPr>
      <w:r>
        <w:t>Any claim that an engineered feature improves prediction must be supported later by held-out or cross-validated model results.</w:t>
      </w:r>
    </w:p>
    <w:p w14:paraId="2FEA08D8" w14:textId="77777777" w:rsidR="00BA1CF9" w:rsidRDefault="00000000">
      <w:pPr>
        <w:pStyle w:val="1"/>
      </w:pPr>
      <w:r>
        <w:t>Appendix A. Processing Outputs</w:t>
      </w:r>
    </w:p>
    <w:tbl>
      <w:tblPr>
        <w:tblStyle w:val="aff1"/>
        <w:tblW w:w="0" w:type="auto"/>
        <w:jc w:val="center"/>
        <w:tblLook w:val="04A0" w:firstRow="1" w:lastRow="0" w:firstColumn="1" w:lastColumn="0" w:noHBand="0" w:noVBand="1"/>
      </w:tblPr>
      <w:tblGrid>
        <w:gridCol w:w="3168"/>
        <w:gridCol w:w="6624"/>
      </w:tblGrid>
      <w:tr w:rsidR="00BA1CF9" w14:paraId="53E6BDFB" w14:textId="77777777">
        <w:trPr>
          <w:jc w:val="center"/>
        </w:trPr>
        <w:tc>
          <w:tcPr>
            <w:tcW w:w="3168" w:type="dxa"/>
            <w:shd w:val="clear" w:color="auto" w:fill="D9EAF7"/>
            <w:vAlign w:val="center"/>
          </w:tcPr>
          <w:p w14:paraId="40620795" w14:textId="77777777" w:rsidR="00BA1CF9" w:rsidRDefault="00000000">
            <w:pPr>
              <w:rPr>
                <w:rFonts w:hint="eastAsia"/>
              </w:rPr>
            </w:pPr>
            <w:r>
              <w:rPr>
                <w:b/>
                <w:sz w:val="17"/>
              </w:rPr>
              <w:t>Output</w:t>
            </w:r>
          </w:p>
        </w:tc>
        <w:tc>
          <w:tcPr>
            <w:tcW w:w="6624" w:type="dxa"/>
            <w:shd w:val="clear" w:color="auto" w:fill="D9EAF7"/>
            <w:vAlign w:val="center"/>
          </w:tcPr>
          <w:p w14:paraId="0BC9B30D" w14:textId="77777777" w:rsidR="00BA1CF9" w:rsidRDefault="00000000">
            <w:pPr>
              <w:rPr>
                <w:rFonts w:hint="eastAsia"/>
              </w:rPr>
            </w:pPr>
            <w:r>
              <w:rPr>
                <w:b/>
                <w:sz w:val="17"/>
              </w:rPr>
              <w:t>Purpose</w:t>
            </w:r>
          </w:p>
        </w:tc>
      </w:tr>
      <w:tr w:rsidR="00BA1CF9" w14:paraId="38CDA304" w14:textId="77777777">
        <w:trPr>
          <w:jc w:val="center"/>
        </w:trPr>
        <w:tc>
          <w:tcPr>
            <w:tcW w:w="3168" w:type="dxa"/>
            <w:vAlign w:val="center"/>
          </w:tcPr>
          <w:p w14:paraId="5613323B" w14:textId="77777777" w:rsidR="00BA1CF9" w:rsidRDefault="00000000">
            <w:pPr>
              <w:rPr>
                <w:rFonts w:hint="eastAsia"/>
              </w:rPr>
            </w:pPr>
            <w:r>
              <w:rPr>
                <w:sz w:val="17"/>
              </w:rPr>
              <w:t>processed_data/</w:t>
            </w:r>
          </w:p>
        </w:tc>
        <w:tc>
          <w:tcPr>
            <w:tcW w:w="6624" w:type="dxa"/>
            <w:vAlign w:val="center"/>
          </w:tcPr>
          <w:p w14:paraId="397AD86D" w14:textId="77777777" w:rsidR="00BA1CF9" w:rsidRDefault="00000000">
            <w:pPr>
              <w:rPr>
                <w:rFonts w:hint="eastAsia"/>
              </w:rPr>
            </w:pPr>
            <w:r>
              <w:rPr>
                <w:sz w:val="17"/>
              </w:rPr>
              <w:t>Original engineered data, fixed train/validation split, metadata, and preserved labels.</w:t>
            </w:r>
          </w:p>
        </w:tc>
      </w:tr>
      <w:tr w:rsidR="00BA1CF9" w14:paraId="1BBA84D4" w14:textId="77777777">
        <w:trPr>
          <w:jc w:val="center"/>
        </w:trPr>
        <w:tc>
          <w:tcPr>
            <w:tcW w:w="3168" w:type="dxa"/>
            <w:vAlign w:val="center"/>
          </w:tcPr>
          <w:p w14:paraId="43F3ACFD" w14:textId="77777777" w:rsidR="00BA1CF9" w:rsidRDefault="00000000">
            <w:pPr>
              <w:rPr>
                <w:rFonts w:hint="eastAsia"/>
              </w:rPr>
            </w:pPr>
            <w:r>
              <w:rPr>
                <w:sz w:val="17"/>
              </w:rPr>
              <w:t>supplementary_processed_data/</w:t>
            </w:r>
          </w:p>
        </w:tc>
        <w:tc>
          <w:tcPr>
            <w:tcW w:w="6624" w:type="dxa"/>
            <w:vAlign w:val="center"/>
          </w:tcPr>
          <w:p w14:paraId="76404C42" w14:textId="77777777" w:rsidR="00BA1CF9" w:rsidRDefault="00000000">
            <w:pPr>
              <w:rPr>
                <w:rFonts w:hint="eastAsia"/>
              </w:rPr>
            </w:pPr>
            <w:r>
              <w:rPr>
                <w:sz w:val="17"/>
              </w:rPr>
              <w:t>Consolidated feature tables, schema, and the supplementary split mapping.</w:t>
            </w:r>
          </w:p>
        </w:tc>
      </w:tr>
      <w:tr w:rsidR="00BA1CF9" w14:paraId="1DA182F7" w14:textId="77777777">
        <w:trPr>
          <w:jc w:val="center"/>
        </w:trPr>
        <w:tc>
          <w:tcPr>
            <w:tcW w:w="3168" w:type="dxa"/>
            <w:vAlign w:val="center"/>
          </w:tcPr>
          <w:p w14:paraId="5D866E70" w14:textId="77777777" w:rsidR="00BA1CF9" w:rsidRDefault="00000000">
            <w:pPr>
              <w:rPr>
                <w:rFonts w:hint="eastAsia"/>
              </w:rPr>
            </w:pPr>
            <w:r>
              <w:rPr>
                <w:sz w:val="17"/>
              </w:rPr>
              <w:t>supplementary_outputs/figures/</w:t>
            </w:r>
          </w:p>
        </w:tc>
        <w:tc>
          <w:tcPr>
            <w:tcW w:w="6624" w:type="dxa"/>
            <w:vAlign w:val="center"/>
          </w:tcPr>
          <w:p w14:paraId="0947AC16" w14:textId="77777777" w:rsidR="00BA1CF9" w:rsidRDefault="00000000">
            <w:pPr>
              <w:rPr>
                <w:rFonts w:hint="eastAsia"/>
              </w:rPr>
            </w:pPr>
            <w:r>
              <w:rPr>
                <w:sz w:val="17"/>
              </w:rPr>
              <w:t>Additional geography visualization.</w:t>
            </w:r>
          </w:p>
        </w:tc>
      </w:tr>
      <w:tr w:rsidR="00BA1CF9" w14:paraId="4081B939" w14:textId="77777777">
        <w:trPr>
          <w:jc w:val="center"/>
        </w:trPr>
        <w:tc>
          <w:tcPr>
            <w:tcW w:w="3168" w:type="dxa"/>
            <w:vAlign w:val="center"/>
          </w:tcPr>
          <w:p w14:paraId="5829EF55" w14:textId="77777777" w:rsidR="00BA1CF9" w:rsidRDefault="00000000">
            <w:pPr>
              <w:rPr>
                <w:rFonts w:hint="eastAsia"/>
              </w:rPr>
            </w:pPr>
            <w:r>
              <w:rPr>
                <w:sz w:val="17"/>
              </w:rPr>
              <w:t>supplementary_outputs/tables/</w:t>
            </w:r>
          </w:p>
        </w:tc>
        <w:tc>
          <w:tcPr>
            <w:tcW w:w="6624" w:type="dxa"/>
            <w:vAlign w:val="center"/>
          </w:tcPr>
          <w:p w14:paraId="5BCF7328" w14:textId="77777777" w:rsidR="00BA1CF9" w:rsidRDefault="00000000">
            <w:pPr>
              <w:rPr>
                <w:rFonts w:hint="eastAsia"/>
              </w:rPr>
            </w:pPr>
            <w:r>
              <w:rPr>
                <w:sz w:val="17"/>
              </w:rPr>
              <w:t>Geo Level 1/2/3 damage summary tables for EDA and presentation use.</w:t>
            </w:r>
          </w:p>
        </w:tc>
      </w:tr>
    </w:tbl>
    <w:p w14:paraId="4BAB8491" w14:textId="77777777" w:rsidR="00BA1CF9" w:rsidRDefault="00BA1CF9">
      <w:pPr>
        <w:rPr>
          <w:rFonts w:hint="eastAsia"/>
        </w:rPr>
      </w:pPr>
    </w:p>
    <w:p w14:paraId="0E0985BF" w14:textId="77777777" w:rsidR="00BA1CF9" w:rsidRDefault="00000000">
      <w:pPr>
        <w:spacing w:after="100"/>
        <w:rPr>
          <w:rFonts w:hint="eastAsia"/>
        </w:rPr>
      </w:pPr>
      <w:r>
        <w:t>The consolidated supplementary training table contains 260,601 rows and 49 columns including building_id. Removing building_id leaves 48 model features before any model-specific encoding.</w:t>
      </w:r>
    </w:p>
    <w:p>
      <w:r>
        <w:br w:type="page"/>
      </w:r>
    </w:p>
    <w:p>
      <w:pPr>
        <w:jc w:val="center"/>
      </w:pPr>
      <w:r>
        <w:rPr>
          <w:b/>
          <w:color w:val="1F4E79"/>
          <w:sz w:val="36"/>
        </w:rPr>
        <w:t>Part II · Modeling, Evaluation and Experimental Analysis</w:t>
      </w:r>
    </w:p>
    <w:p>
      <w:pPr>
        <w:pStyle w:val="1"/>
      </w:pPr>
      <w:r>
        <w:t>9. Modeling Inputs and Validation Design</w:t>
      </w:r>
    </w:p>
    <w:p>
      <w:r>
        <w:t>The modeling stage consumes the consolidated feature tables produced by the preprocessing pipeline. The final training table contains 260,601 labeled buildings and 49 columns including building_id. Because building_id is used only for alignment and submission, 48 features enter model-specific preprocessing. The common benchmark uses the fixed 80/20 stratified split created earlier: 208,480 training observations and 52,121 validation observations.</w:t>
      </w:r>
    </w:p>
    <w:p>
      <w:r>
        <w:t>The target is ordinal. Grade 1 indicates low damage, Grade 2 medium damage, and Grade 3 severe or near-complete destruction. The DrivenData metric is Micro F1. In a single-label multiclass setting, Micro F1 is numerically equal to accuracy, so the analysis also reports Macro F1, Grade-3 Recall, ordinal MAE, Quadratic Weighted Kappa, and Catastrophic Error Rate.</w:t>
      </w:r>
    </w:p>
    <w:tbl>
      <w:tblPr>
        <w:tblStyle w:val="aff1"/>
        <w:tblW w:type="auto" w:w="0"/>
        <w:jc w:val="center"/>
        <w:tblLook w:firstColumn="1" w:firstRow="1" w:lastColumn="0" w:lastRow="0" w:noHBand="0" w:noVBand="1" w:val="04A0"/>
      </w:tblPr>
      <w:tblGrid>
        <w:gridCol w:w="5112"/>
        <w:gridCol w:w="5112"/>
      </w:tblGrid>
      <w:tr>
        <w:tc>
          <w:tcPr>
            <w:tcW w:type="dxa" w:w="1728"/>
            <w:shd w:fill="D9EAF7"/>
          </w:tcPr>
          <w:p>
            <w:r>
              <w:rPr>
                <w:b/>
                <w:sz w:val="17"/>
              </w:rPr>
              <w:t>Metric</w:t>
            </w:r>
          </w:p>
        </w:tc>
        <w:tc>
          <w:tcPr>
            <w:tcW w:type="dxa" w:w="7920"/>
            <w:shd w:fill="D9EAF7"/>
          </w:tcPr>
          <w:p>
            <w:r>
              <w:rPr>
                <w:b/>
                <w:sz w:val="17"/>
              </w:rPr>
              <w:t>Role in evaluation</w:t>
            </w:r>
          </w:p>
        </w:tc>
      </w:tr>
      <w:tr>
        <w:tc>
          <w:tcPr>
            <w:tcW w:type="dxa" w:w="1728"/>
            <w:vAlign w:val="top"/>
          </w:tcPr>
          <w:p>
            <w:r>
              <w:rPr>
                <w:sz w:val="17"/>
              </w:rPr>
              <w:t>Micro F1</w:t>
            </w:r>
          </w:p>
        </w:tc>
        <w:tc>
          <w:tcPr>
            <w:tcW w:type="dxa" w:w="7920"/>
            <w:vAlign w:val="top"/>
          </w:tcPr>
          <w:p>
            <w:r>
              <w:rPr>
                <w:sz w:val="17"/>
              </w:rPr>
              <w:t>Official competition metric; equals overall accuracy in this task.</w:t>
            </w:r>
          </w:p>
        </w:tc>
      </w:tr>
      <w:tr>
        <w:tc>
          <w:tcPr>
            <w:tcW w:type="dxa" w:w="1728"/>
            <w:vAlign w:val="top"/>
          </w:tcPr>
          <w:p>
            <w:r>
              <w:rPr>
                <w:sz w:val="17"/>
              </w:rPr>
              <w:t>Macro F1</w:t>
            </w:r>
          </w:p>
        </w:tc>
        <w:tc>
          <w:tcPr>
            <w:tcW w:type="dxa" w:w="7920"/>
            <w:vAlign w:val="top"/>
          </w:tcPr>
          <w:p>
            <w:r>
              <w:rPr>
                <w:sz w:val="17"/>
              </w:rPr>
              <w:t>Weights all three classes equally and exposes minority-class weakness.</w:t>
            </w:r>
          </w:p>
        </w:tc>
      </w:tr>
      <w:tr>
        <w:tc>
          <w:tcPr>
            <w:tcW w:type="dxa" w:w="1728"/>
            <w:vAlign w:val="top"/>
          </w:tcPr>
          <w:p>
            <w:r>
              <w:rPr>
                <w:sz w:val="17"/>
              </w:rPr>
              <w:t>Grade-3 Recall</w:t>
            </w:r>
          </w:p>
        </w:tc>
        <w:tc>
          <w:tcPr>
            <w:tcW w:type="dxa" w:w="7920"/>
            <w:vAlign w:val="top"/>
          </w:tcPr>
          <w:p>
            <w:r>
              <w:rPr>
                <w:sz w:val="17"/>
              </w:rPr>
              <w:t>Measures detection of the most severely damaged buildings.</w:t>
            </w:r>
          </w:p>
        </w:tc>
      </w:tr>
      <w:tr>
        <w:tc>
          <w:tcPr>
            <w:tcW w:type="dxa" w:w="1728"/>
            <w:vAlign w:val="top"/>
          </w:tcPr>
          <w:p>
            <w:r>
              <w:rPr>
                <w:sz w:val="17"/>
              </w:rPr>
              <w:t>Ordinal MAE</w:t>
            </w:r>
          </w:p>
        </w:tc>
        <w:tc>
          <w:tcPr>
            <w:tcW w:type="dxa" w:w="7920"/>
            <w:vAlign w:val="top"/>
          </w:tcPr>
          <w:p>
            <w:r>
              <w:rPr>
                <w:sz w:val="17"/>
              </w:rPr>
              <w:t>Uses the natural 1 &lt; 2 &lt; 3 ordering; a two-grade miss is worse than a one-grade miss.</w:t>
            </w:r>
          </w:p>
        </w:tc>
      </w:tr>
      <w:tr>
        <w:tc>
          <w:tcPr>
            <w:tcW w:type="dxa" w:w="1728"/>
            <w:vAlign w:val="top"/>
          </w:tcPr>
          <w:p>
            <w:r>
              <w:rPr>
                <w:sz w:val="17"/>
              </w:rPr>
              <w:t>QWK</w:t>
            </w:r>
          </w:p>
        </w:tc>
        <w:tc>
          <w:tcPr>
            <w:tcW w:type="dxa" w:w="7920"/>
            <w:vAlign w:val="top"/>
          </w:tcPr>
          <w:p>
            <w:r>
              <w:rPr>
                <w:sz w:val="17"/>
              </w:rPr>
              <w:t>Ordinal agreement metric with stronger penalty for larger disagreement.</w:t>
            </w:r>
          </w:p>
        </w:tc>
      </w:tr>
      <w:tr>
        <w:tc>
          <w:tcPr>
            <w:tcW w:type="dxa" w:w="1728"/>
            <w:vAlign w:val="top"/>
          </w:tcPr>
          <w:p>
            <w:r>
              <w:rPr>
                <w:sz w:val="17"/>
              </w:rPr>
              <w:t>CER</w:t>
            </w:r>
          </w:p>
        </w:tc>
        <w:tc>
          <w:tcPr>
            <w:tcW w:type="dxa" w:w="7920"/>
            <w:vAlign w:val="top"/>
          </w:tcPr>
          <w:p>
            <w:r>
              <w:rPr>
                <w:sz w:val="17"/>
              </w:rPr>
              <w:t>Catastrophic Error Rate: fraction of direct Grade-1 ↔ Grade-3 mistakes.</w:t>
            </w:r>
          </w:p>
        </w:tc>
      </w:tr>
    </w:tbl>
    <w:p>
      <w:pPr>
        <w:pStyle w:val="1"/>
      </w:pPr>
      <w:r>
        <w:t>10. Model Benchmark and Selection</w:t>
      </w:r>
    </w:p>
    <w:tbl>
      <w:tblPr>
        <w:tblStyle w:val="aff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5"/>
              </w:rPr>
              <w:t>Model</w:t>
            </w:r>
          </w:p>
        </w:tc>
        <w:tc>
          <w:tcPr>
            <w:tcW w:type="dxa" w:w="1461"/>
            <w:shd w:fill="D9EAF7"/>
          </w:tcPr>
          <w:p>
            <w:r>
              <w:rPr>
                <w:b/>
                <w:sz w:val="15"/>
              </w:rPr>
              <w:t>Micro F1</w:t>
            </w:r>
          </w:p>
        </w:tc>
        <w:tc>
          <w:tcPr>
            <w:tcW w:type="dxa" w:w="1461"/>
            <w:shd w:fill="D9EAF7"/>
          </w:tcPr>
          <w:p>
            <w:r>
              <w:rPr>
                <w:b/>
                <w:sz w:val="15"/>
              </w:rPr>
              <w:t>Macro F1</w:t>
            </w:r>
          </w:p>
        </w:tc>
        <w:tc>
          <w:tcPr>
            <w:tcW w:type="dxa" w:w="1461"/>
            <w:shd w:fill="D9EAF7"/>
          </w:tcPr>
          <w:p>
            <w:r>
              <w:rPr>
                <w:b/>
                <w:sz w:val="15"/>
              </w:rPr>
              <w:t>G3 Recall</w:t>
            </w:r>
          </w:p>
        </w:tc>
        <w:tc>
          <w:tcPr>
            <w:tcW w:type="dxa" w:w="1461"/>
            <w:shd w:fill="D9EAF7"/>
          </w:tcPr>
          <w:p>
            <w:r>
              <w:rPr>
                <w:b/>
                <w:sz w:val="15"/>
              </w:rPr>
              <w:t>MAE</w:t>
            </w:r>
          </w:p>
        </w:tc>
        <w:tc>
          <w:tcPr>
            <w:tcW w:type="dxa" w:w="1461"/>
            <w:shd w:fill="D9EAF7"/>
          </w:tcPr>
          <w:p>
            <w:r>
              <w:rPr>
                <w:b/>
                <w:sz w:val="15"/>
              </w:rPr>
              <w:t>QWK</w:t>
            </w:r>
          </w:p>
        </w:tc>
        <w:tc>
          <w:tcPr>
            <w:tcW w:type="dxa" w:w="1461"/>
            <w:shd w:fill="D9EAF7"/>
          </w:tcPr>
          <w:p>
            <w:r>
              <w:rPr>
                <w:b/>
                <w:sz w:val="15"/>
              </w:rPr>
              <w:t>CER</w:t>
            </w:r>
          </w:p>
        </w:tc>
      </w:tr>
      <w:tr>
        <w:tc>
          <w:tcPr>
            <w:tcW w:type="dxa" w:w="1461"/>
            <w:vAlign w:val="top"/>
          </w:tcPr>
          <w:p>
            <w:r>
              <w:rPr>
                <w:sz w:val="15"/>
              </w:rPr>
              <w:t>LightGBM + One-Hot</w:t>
            </w:r>
          </w:p>
        </w:tc>
        <w:tc>
          <w:tcPr>
            <w:tcW w:type="dxa" w:w="1461"/>
            <w:vAlign w:val="top"/>
          </w:tcPr>
          <w:p>
            <w:r>
              <w:rPr>
                <w:sz w:val="15"/>
              </w:rPr>
              <w:t>0.7474</w:t>
            </w:r>
          </w:p>
        </w:tc>
        <w:tc>
          <w:tcPr>
            <w:tcW w:type="dxa" w:w="1461"/>
            <w:vAlign w:val="top"/>
          </w:tcPr>
          <w:p>
            <w:r>
              <w:rPr>
                <w:sz w:val="15"/>
              </w:rPr>
              <w:t>0.6937</w:t>
            </w:r>
          </w:p>
        </w:tc>
        <w:tc>
          <w:tcPr>
            <w:tcW w:type="dxa" w:w="1461"/>
            <w:vAlign w:val="top"/>
          </w:tcPr>
          <w:p>
            <w:r>
              <w:rPr>
                <w:sz w:val="15"/>
              </w:rPr>
              <w:t>0.6222</w:t>
            </w:r>
          </w:p>
        </w:tc>
        <w:tc>
          <w:tcPr>
            <w:tcW w:type="dxa" w:w="1461"/>
            <w:vAlign w:val="top"/>
          </w:tcPr>
          <w:p>
            <w:r>
              <w:rPr>
                <w:sz w:val="15"/>
              </w:rPr>
              <w:t>0.2557</w:t>
            </w:r>
          </w:p>
        </w:tc>
        <w:tc>
          <w:tcPr>
            <w:tcW w:type="dxa" w:w="1461"/>
            <w:vAlign w:val="top"/>
          </w:tcPr>
          <w:p>
            <w:r>
              <w:rPr>
                <w:sz w:val="15"/>
              </w:rPr>
              <w:t>0.6142</w:t>
            </w:r>
          </w:p>
        </w:tc>
        <w:tc>
          <w:tcPr>
            <w:tcW w:type="dxa" w:w="1461"/>
            <w:vAlign w:val="top"/>
          </w:tcPr>
          <w:p>
            <w:r>
              <w:rPr>
                <w:sz w:val="15"/>
              </w:rPr>
              <w:t>0.0031</w:t>
            </w:r>
          </w:p>
        </w:tc>
      </w:tr>
      <w:tr>
        <w:tc>
          <w:tcPr>
            <w:tcW w:type="dxa" w:w="1461"/>
            <w:vAlign w:val="top"/>
          </w:tcPr>
          <w:p>
            <w:r>
              <w:rPr>
                <w:sz w:val="15"/>
              </w:rPr>
              <w:t>LightGBM, compact encoding</w:t>
            </w:r>
          </w:p>
        </w:tc>
        <w:tc>
          <w:tcPr>
            <w:tcW w:type="dxa" w:w="1461"/>
            <w:vAlign w:val="top"/>
          </w:tcPr>
          <w:p>
            <w:r>
              <w:rPr>
                <w:sz w:val="15"/>
              </w:rPr>
              <w:t>0.7387</w:t>
            </w:r>
          </w:p>
        </w:tc>
        <w:tc>
          <w:tcPr>
            <w:tcW w:type="dxa" w:w="1461"/>
            <w:vAlign w:val="top"/>
          </w:tcPr>
          <w:p>
            <w:r>
              <w:rPr>
                <w:sz w:val="15"/>
              </w:rPr>
              <w:t>0.6816</w:t>
            </w:r>
          </w:p>
        </w:tc>
        <w:tc>
          <w:tcPr>
            <w:tcW w:type="dxa" w:w="1461"/>
            <w:vAlign w:val="top"/>
          </w:tcPr>
          <w:p>
            <w:r>
              <w:rPr>
                <w:sz w:val="15"/>
              </w:rPr>
              <w:t>0.6079</w:t>
            </w:r>
          </w:p>
        </w:tc>
        <w:tc>
          <w:tcPr>
            <w:tcW w:type="dxa" w:w="1461"/>
            <w:vAlign w:val="top"/>
          </w:tcPr>
          <w:p>
            <w:r>
              <w:rPr>
                <w:sz w:val="15"/>
              </w:rPr>
              <w:t>0.2639</w:t>
            </w:r>
          </w:p>
        </w:tc>
        <w:tc>
          <w:tcPr>
            <w:tcW w:type="dxa" w:w="1461"/>
            <w:vAlign w:val="top"/>
          </w:tcPr>
          <w:p>
            <w:r>
              <w:rPr>
                <w:sz w:val="15"/>
              </w:rPr>
              <w:t>0.5993</w:t>
            </w:r>
          </w:p>
        </w:tc>
        <w:tc>
          <w:tcPr>
            <w:tcW w:type="dxa" w:w="1461"/>
            <w:vAlign w:val="top"/>
          </w:tcPr>
          <w:p>
            <w:r>
              <w:rPr>
                <w:sz w:val="15"/>
              </w:rPr>
              <w:t>0.0026</w:t>
            </w:r>
          </w:p>
        </w:tc>
      </w:tr>
      <w:tr>
        <w:tc>
          <w:tcPr>
            <w:tcW w:type="dxa" w:w="1461"/>
            <w:vAlign w:val="top"/>
          </w:tcPr>
          <w:p>
            <w:r>
              <w:rPr>
                <w:sz w:val="15"/>
              </w:rPr>
              <w:t>Linear Logistic Baseline</w:t>
            </w:r>
          </w:p>
        </w:tc>
        <w:tc>
          <w:tcPr>
            <w:tcW w:type="dxa" w:w="1461"/>
            <w:vAlign w:val="top"/>
          </w:tcPr>
          <w:p>
            <w:r>
              <w:rPr>
                <w:sz w:val="15"/>
              </w:rPr>
              <w:t>0.7359</w:t>
            </w:r>
          </w:p>
        </w:tc>
        <w:tc>
          <w:tcPr>
            <w:tcW w:type="dxa" w:w="1461"/>
            <w:vAlign w:val="top"/>
          </w:tcPr>
          <w:p>
            <w:r>
              <w:rPr>
                <w:sz w:val="15"/>
              </w:rPr>
              <w:t>0.6835</w:t>
            </w:r>
          </w:p>
        </w:tc>
        <w:tc>
          <w:tcPr>
            <w:tcW w:type="dxa" w:w="1461"/>
            <w:vAlign w:val="top"/>
          </w:tcPr>
          <w:p>
            <w:r>
              <w:rPr>
                <w:sz w:val="15"/>
              </w:rPr>
              <w:t>0.5488</w:t>
            </w:r>
          </w:p>
        </w:tc>
        <w:tc>
          <w:tcPr>
            <w:tcW w:type="dxa" w:w="1461"/>
            <w:vAlign w:val="top"/>
          </w:tcPr>
          <w:p>
            <w:r>
              <w:rPr>
                <w:sz w:val="15"/>
              </w:rPr>
              <w:t>0.2692</w:t>
            </w:r>
          </w:p>
        </w:tc>
        <w:tc>
          <w:tcPr>
            <w:tcW w:type="dxa" w:w="1461"/>
            <w:vAlign w:val="top"/>
          </w:tcPr>
          <w:p>
            <w:r>
              <w:rPr>
                <w:sz w:val="15"/>
              </w:rPr>
              <w:t>0.5922</w:t>
            </w:r>
          </w:p>
        </w:tc>
        <w:tc>
          <w:tcPr>
            <w:tcW w:type="dxa" w:w="1461"/>
            <w:vAlign w:val="top"/>
          </w:tcPr>
          <w:p>
            <w:r>
              <w:rPr>
                <w:sz w:val="15"/>
              </w:rPr>
              <w:t>0.0051</w:t>
            </w:r>
          </w:p>
        </w:tc>
      </w:tr>
      <w:tr>
        <w:tc>
          <w:tcPr>
            <w:tcW w:type="dxa" w:w="1461"/>
            <w:vAlign w:val="top"/>
          </w:tcPr>
          <w:p>
            <w:r>
              <w:rPr>
                <w:sz w:val="15"/>
              </w:rPr>
              <w:t>XGBoost + One-Hot</w:t>
            </w:r>
          </w:p>
        </w:tc>
        <w:tc>
          <w:tcPr>
            <w:tcW w:type="dxa" w:w="1461"/>
            <w:vAlign w:val="top"/>
          </w:tcPr>
          <w:p>
            <w:r>
              <w:rPr>
                <w:sz w:val="15"/>
              </w:rPr>
              <w:t>0.7331</w:t>
            </w:r>
          </w:p>
        </w:tc>
        <w:tc>
          <w:tcPr>
            <w:tcW w:type="dxa" w:w="1461"/>
            <w:vAlign w:val="top"/>
          </w:tcPr>
          <w:p>
            <w:r>
              <w:rPr>
                <w:sz w:val="15"/>
              </w:rPr>
              <w:t>0.6700</w:t>
            </w:r>
          </w:p>
        </w:tc>
        <w:tc>
          <w:tcPr>
            <w:tcW w:type="dxa" w:w="1461"/>
            <w:vAlign w:val="top"/>
          </w:tcPr>
          <w:p>
            <w:r>
              <w:rPr>
                <w:sz w:val="15"/>
              </w:rPr>
              <w:t>0.5792</w:t>
            </w:r>
          </w:p>
        </w:tc>
        <w:tc>
          <w:tcPr>
            <w:tcW w:type="dxa" w:w="1461"/>
            <w:vAlign w:val="top"/>
          </w:tcPr>
          <w:p>
            <w:r>
              <w:rPr>
                <w:sz w:val="15"/>
              </w:rPr>
              <w:t>0.2692</w:t>
            </w:r>
          </w:p>
        </w:tc>
        <w:tc>
          <w:tcPr>
            <w:tcW w:type="dxa" w:w="1461"/>
            <w:vAlign w:val="top"/>
          </w:tcPr>
          <w:p>
            <w:r>
              <w:rPr>
                <w:sz w:val="15"/>
              </w:rPr>
              <w:t>0.5838</w:t>
            </w:r>
          </w:p>
        </w:tc>
        <w:tc>
          <w:tcPr>
            <w:tcW w:type="dxa" w:w="1461"/>
            <w:vAlign w:val="top"/>
          </w:tcPr>
          <w:p>
            <w:r>
              <w:rPr>
                <w:sz w:val="15"/>
              </w:rPr>
              <w:t>0.0023</w:t>
            </w:r>
          </w:p>
        </w:tc>
      </w:tr>
      <w:tr>
        <w:tc>
          <w:tcPr>
            <w:tcW w:type="dxa" w:w="1461"/>
            <w:vAlign w:val="top"/>
          </w:tcPr>
          <w:p>
            <w:r>
              <w:rPr>
                <w:sz w:val="15"/>
              </w:rPr>
              <w:t>Random Forest</w:t>
            </w:r>
          </w:p>
        </w:tc>
        <w:tc>
          <w:tcPr>
            <w:tcW w:type="dxa" w:w="1461"/>
            <w:vAlign w:val="top"/>
          </w:tcPr>
          <w:p>
            <w:r>
              <w:rPr>
                <w:sz w:val="15"/>
              </w:rPr>
              <w:t>0.7172</w:t>
            </w:r>
          </w:p>
        </w:tc>
        <w:tc>
          <w:tcPr>
            <w:tcW w:type="dxa" w:w="1461"/>
            <w:vAlign w:val="top"/>
          </w:tcPr>
          <w:p>
            <w:r>
              <w:rPr>
                <w:sz w:val="15"/>
              </w:rPr>
              <w:t>0.6446</w:t>
            </w:r>
          </w:p>
        </w:tc>
        <w:tc>
          <w:tcPr>
            <w:tcW w:type="dxa" w:w="1461"/>
            <w:vAlign w:val="top"/>
          </w:tcPr>
          <w:p>
            <w:r>
              <w:rPr>
                <w:sz w:val="15"/>
              </w:rPr>
              <w:t>0.5340</w:t>
            </w:r>
          </w:p>
        </w:tc>
        <w:tc>
          <w:tcPr>
            <w:tcW w:type="dxa" w:w="1461"/>
            <w:vAlign w:val="top"/>
          </w:tcPr>
          <w:p>
            <w:r>
              <w:rPr>
                <w:sz w:val="15"/>
              </w:rPr>
              <w:t>0.2848</w:t>
            </w:r>
          </w:p>
        </w:tc>
        <w:tc>
          <w:tcPr>
            <w:tcW w:type="dxa" w:w="1461"/>
            <w:vAlign w:val="top"/>
          </w:tcPr>
          <w:p>
            <w:r>
              <w:rPr>
                <w:sz w:val="15"/>
              </w:rPr>
              <w:t>0.5495</w:t>
            </w:r>
          </w:p>
        </w:tc>
        <w:tc>
          <w:tcPr>
            <w:tcW w:type="dxa" w:w="1461"/>
            <w:vAlign w:val="top"/>
          </w:tcPr>
          <w:p>
            <w:r>
              <w:rPr>
                <w:sz w:val="15"/>
              </w:rPr>
              <w:t>0.0020</w:t>
            </w:r>
          </w:p>
        </w:tc>
      </w:tr>
      <w:tr>
        <w:tc>
          <w:tcPr>
            <w:tcW w:type="dxa" w:w="1461"/>
            <w:vAlign w:val="top"/>
          </w:tcPr>
          <w:p>
            <w:r>
              <w:rPr>
                <w:sz w:val="15"/>
              </w:rPr>
              <w:t>Decision Tree</w:t>
            </w:r>
          </w:p>
        </w:tc>
        <w:tc>
          <w:tcPr>
            <w:tcW w:type="dxa" w:w="1461"/>
            <w:vAlign w:val="top"/>
          </w:tcPr>
          <w:p>
            <w:r>
              <w:rPr>
                <w:sz w:val="15"/>
              </w:rPr>
              <w:t>0.7087</w:t>
            </w:r>
          </w:p>
        </w:tc>
        <w:tc>
          <w:tcPr>
            <w:tcW w:type="dxa" w:w="1461"/>
            <w:vAlign w:val="top"/>
          </w:tcPr>
          <w:p>
            <w:r>
              <w:rPr>
                <w:sz w:val="15"/>
              </w:rPr>
              <w:t>0.6529</w:t>
            </w:r>
          </w:p>
        </w:tc>
        <w:tc>
          <w:tcPr>
            <w:tcW w:type="dxa" w:w="1461"/>
            <w:vAlign w:val="top"/>
          </w:tcPr>
          <w:p>
            <w:r>
              <w:rPr>
                <w:sz w:val="15"/>
              </w:rPr>
              <w:t>0.6069</w:t>
            </w:r>
          </w:p>
        </w:tc>
        <w:tc>
          <w:tcPr>
            <w:tcW w:type="dxa" w:w="1461"/>
            <w:vAlign w:val="top"/>
          </w:tcPr>
          <w:p>
            <w:r>
              <w:rPr>
                <w:sz w:val="15"/>
              </w:rPr>
              <w:t>0.2975</w:t>
            </w:r>
          </w:p>
        </w:tc>
        <w:tc>
          <w:tcPr>
            <w:tcW w:type="dxa" w:w="1461"/>
            <w:vAlign w:val="top"/>
          </w:tcPr>
          <w:p>
            <w:r>
              <w:rPr>
                <w:sz w:val="15"/>
              </w:rPr>
              <w:t>0.5609</w:t>
            </w:r>
          </w:p>
        </w:tc>
        <w:tc>
          <w:tcPr>
            <w:tcW w:type="dxa" w:w="1461"/>
            <w:vAlign w:val="top"/>
          </w:tcPr>
          <w:p>
            <w:r>
              <w:rPr>
                <w:sz w:val="15"/>
              </w:rPr>
              <w:t>0.0062</w:t>
            </w:r>
          </w:p>
        </w:tc>
      </w:tr>
      <w:tr>
        <w:tc>
          <w:tcPr>
            <w:tcW w:type="dxa" w:w="1461"/>
            <w:vAlign w:val="top"/>
          </w:tcPr>
          <w:p>
            <w:r>
              <w:rPr>
                <w:sz w:val="15"/>
              </w:rPr>
              <w:t>Majority Baseline</w:t>
            </w:r>
          </w:p>
        </w:tc>
        <w:tc>
          <w:tcPr>
            <w:tcW w:type="dxa" w:w="1461"/>
            <w:vAlign w:val="top"/>
          </w:tcPr>
          <w:p>
            <w:r>
              <w:rPr>
                <w:sz w:val="15"/>
              </w:rPr>
              <w:t>0.5689</w:t>
            </w:r>
          </w:p>
        </w:tc>
        <w:tc>
          <w:tcPr>
            <w:tcW w:type="dxa" w:w="1461"/>
            <w:vAlign w:val="top"/>
          </w:tcPr>
          <w:p>
            <w:r>
              <w:rPr>
                <w:sz w:val="15"/>
              </w:rPr>
              <w:t>0.2417</w:t>
            </w:r>
          </w:p>
        </w:tc>
        <w:tc>
          <w:tcPr>
            <w:tcW w:type="dxa" w:w="1461"/>
            <w:vAlign w:val="top"/>
          </w:tcPr>
          <w:p>
            <w:r>
              <w:rPr>
                <w:sz w:val="15"/>
              </w:rPr>
              <w:t>0.0000</w:t>
            </w:r>
          </w:p>
        </w:tc>
        <w:tc>
          <w:tcPr>
            <w:tcW w:type="dxa" w:w="1461"/>
            <w:vAlign w:val="top"/>
          </w:tcPr>
          <w:p>
            <w:r>
              <w:rPr>
                <w:sz w:val="15"/>
              </w:rPr>
              <w:t>0.4311</w:t>
            </w:r>
          </w:p>
        </w:tc>
        <w:tc>
          <w:tcPr>
            <w:tcW w:type="dxa" w:w="1461"/>
            <w:vAlign w:val="top"/>
          </w:tcPr>
          <w:p>
            <w:r>
              <w:rPr>
                <w:sz w:val="15"/>
              </w:rPr>
              <w:t>0.0000</w:t>
            </w:r>
          </w:p>
        </w:tc>
        <w:tc>
          <w:tcPr>
            <w:tcW w:type="dxa" w:w="1461"/>
            <w:vAlign w:val="top"/>
          </w:tcPr>
          <w:p>
            <w:r>
              <w:rPr>
                <w:sz w:val="15"/>
              </w:rPr>
              <w:t>0.0000</w:t>
            </w:r>
          </w:p>
        </w:tc>
      </w:tr>
    </w:tbl>
    <w:p>
      <w:pPr>
        <w:jc w:val="center"/>
      </w:pPr>
      <w:r>
        <w:drawing>
          <wp:inline xmlns:a="http://schemas.openxmlformats.org/drawingml/2006/main" xmlns:pic="http://schemas.openxmlformats.org/drawingml/2006/picture">
            <wp:extent cx="6126480" cy="3041387"/>
            <wp:docPr id="17" name="Picture 17"/>
            <wp:cNvGraphicFramePr>
              <a:graphicFrameLocks noChangeAspect="1"/>
            </wp:cNvGraphicFramePr>
            <a:graphic>
              <a:graphicData uri="http://schemas.openxmlformats.org/drawingml/2006/picture">
                <pic:pic>
                  <pic:nvPicPr>
                    <pic:cNvPr id="0" name="modeling_fig1.png"/>
                    <pic:cNvPicPr/>
                  </pic:nvPicPr>
                  <pic:blipFill>
                    <a:blip r:embed="rId28"/>
                    <a:stretch>
                      <a:fillRect/>
                    </a:stretch>
                  </pic:blipFill>
                  <pic:spPr>
                    <a:xfrm>
                      <a:off x="0" y="0"/>
                      <a:ext cx="6126480" cy="3041387"/>
                    </a:xfrm>
                    <a:prstGeom prst="rect"/>
                  </pic:spPr>
                </pic:pic>
              </a:graphicData>
            </a:graphic>
          </wp:inline>
        </w:drawing>
      </w:r>
    </w:p>
    <w:p>
      <w:pPr>
        <w:jc w:val="center"/>
      </w:pPr>
      <w:r>
        <w:rPr>
          <w:i/>
          <w:sz w:val="17"/>
        </w:rPr>
        <w:t>Figure 17. Validation performance across the main candidate models.</w:t>
      </w:r>
    </w:p>
    <w:p>
      <w:r>
        <w:t>LightGBM with one-hot encoded categorical variables is the strongest model on the fixed validation set. Its Micro F1 of 0.7474 is 17.85 percentage points above the majority baseline. The linear logistic baseline is surprisingly competitive at 0.7359, suggesting that much of the signal is additive, while the additional LightGBM gain shows that nonlinearities and interactions remain useful.</w:t>
      </w:r>
    </w:p>
    <w:p>
      <w:r>
        <w:rPr>
          <w:b/>
          <w:color w:val="1F4E79"/>
        </w:rPr>
        <w:t>Key finding: LightGBM + One-Hot is the strongest tested course-project model on the common random validation split.</w:t>
      </w:r>
    </w:p>
    <w:p>
      <w:pPr>
        <w:pStyle w:val="1"/>
      </w:pPr>
      <w:r>
        <w:t>11. Best-Model Class-Level Error Analysis</w:t>
      </w:r>
    </w:p>
    <w:tbl>
      <w:tblPr>
        <w:tblStyle w:val="aff1"/>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7"/>
              </w:rPr>
              <w:t>Class</w:t>
            </w:r>
          </w:p>
        </w:tc>
        <w:tc>
          <w:tcPr>
            <w:tcW w:type="dxa" w:w="2045"/>
            <w:shd w:fill="D9EAF7"/>
          </w:tcPr>
          <w:p>
            <w:r>
              <w:rPr>
                <w:b/>
                <w:sz w:val="17"/>
              </w:rPr>
              <w:t>Precision</w:t>
            </w:r>
          </w:p>
        </w:tc>
        <w:tc>
          <w:tcPr>
            <w:tcW w:type="dxa" w:w="2045"/>
            <w:shd w:fill="D9EAF7"/>
          </w:tcPr>
          <w:p>
            <w:r>
              <w:rPr>
                <w:b/>
                <w:sz w:val="17"/>
              </w:rPr>
              <w:t>Recall</w:t>
            </w:r>
          </w:p>
        </w:tc>
        <w:tc>
          <w:tcPr>
            <w:tcW w:type="dxa" w:w="2045"/>
            <w:shd w:fill="D9EAF7"/>
          </w:tcPr>
          <w:p>
            <w:r>
              <w:rPr>
                <w:b/>
                <w:sz w:val="17"/>
              </w:rPr>
              <w:t>F1</w:t>
            </w:r>
          </w:p>
        </w:tc>
        <w:tc>
          <w:tcPr>
            <w:tcW w:type="dxa" w:w="2045"/>
            <w:shd w:fill="D9EAF7"/>
          </w:tcPr>
          <w:p>
            <w:r>
              <w:rPr>
                <w:b/>
                <w:sz w:val="17"/>
              </w:rPr>
              <w:t>Support</w:t>
            </w:r>
          </w:p>
        </w:tc>
      </w:tr>
      <w:tr>
        <w:tc>
          <w:tcPr>
            <w:tcW w:type="dxa" w:w="2045"/>
            <w:vAlign w:val="top"/>
          </w:tcPr>
          <w:p>
            <w:r>
              <w:rPr>
                <w:sz w:val="17"/>
              </w:rPr>
              <w:t>Grade 1</w:t>
            </w:r>
          </w:p>
        </w:tc>
        <w:tc>
          <w:tcPr>
            <w:tcW w:type="dxa" w:w="2045"/>
            <w:vAlign w:val="top"/>
          </w:tcPr>
          <w:p>
            <w:r>
              <w:rPr>
                <w:sz w:val="17"/>
              </w:rPr>
              <w:t>0.6932</w:t>
            </w:r>
          </w:p>
        </w:tc>
        <w:tc>
          <w:tcPr>
            <w:tcW w:type="dxa" w:w="2045"/>
            <w:vAlign w:val="top"/>
          </w:tcPr>
          <w:p>
            <w:r>
              <w:rPr>
                <w:sz w:val="17"/>
              </w:rPr>
              <w:t>0.5202</w:t>
            </w:r>
          </w:p>
        </w:tc>
        <w:tc>
          <w:tcPr>
            <w:tcW w:type="dxa" w:w="2045"/>
            <w:vAlign w:val="top"/>
          </w:tcPr>
          <w:p>
            <w:r>
              <w:rPr>
                <w:sz w:val="17"/>
              </w:rPr>
              <w:t>0.5944</w:t>
            </w:r>
          </w:p>
        </w:tc>
        <w:tc>
          <w:tcPr>
            <w:tcW w:type="dxa" w:w="2045"/>
            <w:vAlign w:val="top"/>
          </w:tcPr>
          <w:p>
            <w:r>
              <w:rPr>
                <w:sz w:val="17"/>
              </w:rPr>
              <w:t>5,025</w:t>
            </w:r>
          </w:p>
        </w:tc>
      </w:tr>
      <w:tr>
        <w:tc>
          <w:tcPr>
            <w:tcW w:type="dxa" w:w="2045"/>
            <w:vAlign w:val="top"/>
          </w:tcPr>
          <w:p>
            <w:r>
              <w:rPr>
                <w:sz w:val="17"/>
              </w:rPr>
              <w:t>Grade 2</w:t>
            </w:r>
          </w:p>
        </w:tc>
        <w:tc>
          <w:tcPr>
            <w:tcW w:type="dxa" w:w="2045"/>
            <w:vAlign w:val="top"/>
          </w:tcPr>
          <w:p>
            <w:r>
              <w:rPr>
                <w:sz w:val="17"/>
              </w:rPr>
              <w:t>0.7425</w:t>
            </w:r>
          </w:p>
        </w:tc>
        <w:tc>
          <w:tcPr>
            <w:tcW w:type="dxa" w:w="2045"/>
            <w:vAlign w:val="top"/>
          </w:tcPr>
          <w:p>
            <w:r>
              <w:rPr>
                <w:sz w:val="17"/>
              </w:rPr>
              <w:t>0.8595</w:t>
            </w:r>
          </w:p>
        </w:tc>
        <w:tc>
          <w:tcPr>
            <w:tcW w:type="dxa" w:w="2045"/>
            <w:vAlign w:val="top"/>
          </w:tcPr>
          <w:p>
            <w:r>
              <w:rPr>
                <w:sz w:val="17"/>
              </w:rPr>
              <w:t>0.7967</w:t>
            </w:r>
          </w:p>
        </w:tc>
        <w:tc>
          <w:tcPr>
            <w:tcW w:type="dxa" w:w="2045"/>
            <w:vAlign w:val="top"/>
          </w:tcPr>
          <w:p>
            <w:r>
              <w:rPr>
                <w:sz w:val="17"/>
              </w:rPr>
              <w:t>29,652</w:t>
            </w:r>
          </w:p>
        </w:tc>
      </w:tr>
      <w:tr>
        <w:tc>
          <w:tcPr>
            <w:tcW w:type="dxa" w:w="2045"/>
            <w:vAlign w:val="top"/>
          </w:tcPr>
          <w:p>
            <w:r>
              <w:rPr>
                <w:sz w:val="17"/>
              </w:rPr>
              <w:t>Grade 3</w:t>
            </w:r>
          </w:p>
        </w:tc>
        <w:tc>
          <w:tcPr>
            <w:tcW w:type="dxa" w:w="2045"/>
            <w:vAlign w:val="top"/>
          </w:tcPr>
          <w:p>
            <w:r>
              <w:rPr>
                <w:sz w:val="17"/>
              </w:rPr>
              <w:t>0.7740</w:t>
            </w:r>
          </w:p>
        </w:tc>
        <w:tc>
          <w:tcPr>
            <w:tcW w:type="dxa" w:w="2045"/>
            <w:vAlign w:val="top"/>
          </w:tcPr>
          <w:p>
            <w:r>
              <w:rPr>
                <w:sz w:val="17"/>
              </w:rPr>
              <w:t>0.6222</w:t>
            </w:r>
          </w:p>
        </w:tc>
        <w:tc>
          <w:tcPr>
            <w:tcW w:type="dxa" w:w="2045"/>
            <w:vAlign w:val="top"/>
          </w:tcPr>
          <w:p>
            <w:r>
              <w:rPr>
                <w:sz w:val="17"/>
              </w:rPr>
              <w:t>0.6899</w:t>
            </w:r>
          </w:p>
        </w:tc>
        <w:tc>
          <w:tcPr>
            <w:tcW w:type="dxa" w:w="2045"/>
            <w:vAlign w:val="top"/>
          </w:tcPr>
          <w:p>
            <w:r>
              <w:rPr>
                <w:sz w:val="17"/>
              </w:rPr>
              <w:t>17,444</w:t>
            </w:r>
          </w:p>
        </w:tc>
      </w:tr>
    </w:tbl>
    <w:p>
      <w:pPr>
        <w:jc w:val="center"/>
      </w:pPr>
      <w:r>
        <w:drawing>
          <wp:inline xmlns:a="http://schemas.openxmlformats.org/drawingml/2006/main" xmlns:pic="http://schemas.openxmlformats.org/drawingml/2006/picture">
            <wp:extent cx="5120640" cy="4137079"/>
            <wp:docPr id="18" name="Picture 18"/>
            <wp:cNvGraphicFramePr>
              <a:graphicFrameLocks noChangeAspect="1"/>
            </wp:cNvGraphicFramePr>
            <a:graphic>
              <a:graphicData uri="http://schemas.openxmlformats.org/drawingml/2006/picture">
                <pic:pic>
                  <pic:nvPicPr>
                    <pic:cNvPr id="0" name="modeling_fig2.png"/>
                    <pic:cNvPicPr/>
                  </pic:nvPicPr>
                  <pic:blipFill>
                    <a:blip r:embed="rId29"/>
                    <a:stretch>
                      <a:fillRect/>
                    </a:stretch>
                  </pic:blipFill>
                  <pic:spPr>
                    <a:xfrm>
                      <a:off x="0" y="0"/>
                      <a:ext cx="5120640" cy="4137079"/>
                    </a:xfrm>
                    <a:prstGeom prst="rect"/>
                  </pic:spPr>
                </pic:pic>
              </a:graphicData>
            </a:graphic>
          </wp:inline>
        </w:drawing>
      </w:r>
    </w:p>
    <w:p>
      <w:pPr>
        <w:jc w:val="center"/>
      </w:pPr>
      <w:r>
        <w:rPr>
          <w:i/>
          <w:sz w:val="17"/>
        </w:rPr>
        <w:t>Figure 18. Confusion matrix for the best LightGBM + One-Hot validation model.</w:t>
      </w:r>
    </w:p>
    <w:p>
      <w:r>
        <w:t>Grade 2 is the easiest class, with recall close to 0.86. Grade 1 is the hardest minority class, with recall around 0.52. Grade 3 achieves precision around 0.77 and recall around 0.62. Only 161 of the 52,121 validation observations are misclassified across the full two-grade distance between Grade 1 and Grade 3, producing a catastrophic error rate of about 0.31%.</w:t>
      </w:r>
    </w:p>
    <w:p>
      <w:r>
        <w:rPr>
          <w:b/>
          <w:color w:val="1F4E79"/>
        </w:rPr>
        <w:t>Key finding: The best model avoids extreme Grade-1 ↔ Grade-3 mistakes, yet minority Grade 1 remains the main class-level weakness.</w:t>
      </w:r>
    </w:p>
    <w:p>
      <w:pPr>
        <w:pStyle w:val="1"/>
      </w:pPr>
      <w:r>
        <w:t>12. Did the Supplementary Features Improve Prediction?</w:t>
      </w:r>
    </w:p>
    <w:tbl>
      <w:tblPr>
        <w:tblStyle w:val="aff1"/>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Feature set</w:t>
            </w:r>
          </w:p>
        </w:tc>
        <w:tc>
          <w:tcPr>
            <w:tcW w:type="dxa" w:w="2556"/>
            <w:shd w:fill="D9EAF7"/>
          </w:tcPr>
          <w:p>
            <w:r>
              <w:rPr>
                <w:b/>
                <w:sz w:val="17"/>
              </w:rPr>
              <w:t>Micro F1</w:t>
            </w:r>
          </w:p>
        </w:tc>
        <w:tc>
          <w:tcPr>
            <w:tcW w:type="dxa" w:w="2556"/>
            <w:shd w:fill="D9EAF7"/>
          </w:tcPr>
          <w:p>
            <w:r>
              <w:rPr>
                <w:b/>
                <w:sz w:val="17"/>
              </w:rPr>
              <w:t>Macro F1</w:t>
            </w:r>
          </w:p>
        </w:tc>
        <w:tc>
          <w:tcPr>
            <w:tcW w:type="dxa" w:w="2556"/>
            <w:shd w:fill="D9EAF7"/>
          </w:tcPr>
          <w:p>
            <w:r>
              <w:rPr>
                <w:b/>
                <w:sz w:val="17"/>
              </w:rPr>
              <w:t>Grade-3 Recall</w:t>
            </w:r>
          </w:p>
        </w:tc>
      </w:tr>
      <w:tr>
        <w:tc>
          <w:tcPr>
            <w:tcW w:type="dxa" w:w="2556"/>
            <w:vAlign w:val="top"/>
          </w:tcPr>
          <w:p>
            <w:r>
              <w:rPr>
                <w:sz w:val="17"/>
              </w:rPr>
              <w:t>Notebook 01 features</w:t>
            </w:r>
          </w:p>
        </w:tc>
        <w:tc>
          <w:tcPr>
            <w:tcW w:type="dxa" w:w="2556"/>
            <w:vAlign w:val="top"/>
          </w:tcPr>
          <w:p>
            <w:r>
              <w:rPr>
                <w:sz w:val="17"/>
              </w:rPr>
              <w:t>0.7398</w:t>
            </w:r>
          </w:p>
        </w:tc>
        <w:tc>
          <w:tcPr>
            <w:tcW w:type="dxa" w:w="2556"/>
            <w:vAlign w:val="top"/>
          </w:tcPr>
          <w:p>
            <w:r>
              <w:rPr>
                <w:sz w:val="17"/>
              </w:rPr>
              <w:t>0.6823</w:t>
            </w:r>
          </w:p>
        </w:tc>
        <w:tc>
          <w:tcPr>
            <w:tcW w:type="dxa" w:w="2556"/>
            <w:vAlign w:val="top"/>
          </w:tcPr>
          <w:p>
            <w:r>
              <w:rPr>
                <w:sz w:val="17"/>
              </w:rPr>
              <w:t>0.6084</w:t>
            </w:r>
          </w:p>
        </w:tc>
      </w:tr>
      <w:tr>
        <w:tc>
          <w:tcPr>
            <w:tcW w:type="dxa" w:w="2556"/>
            <w:vAlign w:val="top"/>
          </w:tcPr>
          <w:p>
            <w:r>
              <w:rPr>
                <w:sz w:val="17"/>
              </w:rPr>
              <w:t>Notebook 01 + 02 features</w:t>
            </w:r>
          </w:p>
        </w:tc>
        <w:tc>
          <w:tcPr>
            <w:tcW w:type="dxa" w:w="2556"/>
            <w:vAlign w:val="top"/>
          </w:tcPr>
          <w:p>
            <w:r>
              <w:rPr>
                <w:sz w:val="17"/>
              </w:rPr>
              <w:t>0.7387</w:t>
            </w:r>
          </w:p>
        </w:tc>
        <w:tc>
          <w:tcPr>
            <w:tcW w:type="dxa" w:w="2556"/>
            <w:vAlign w:val="top"/>
          </w:tcPr>
          <w:p>
            <w:r>
              <w:rPr>
                <w:sz w:val="17"/>
              </w:rPr>
              <w:t>0.6816</w:t>
            </w:r>
          </w:p>
        </w:tc>
        <w:tc>
          <w:tcPr>
            <w:tcW w:type="dxa" w:w="2556"/>
            <w:vAlign w:val="top"/>
          </w:tcPr>
          <w:p>
            <w:r>
              <w:rPr>
                <w:sz w:val="17"/>
              </w:rPr>
              <w:t>0.6079</w:t>
            </w:r>
          </w:p>
        </w:tc>
      </w:tr>
    </w:tbl>
    <w:p>
      <w:pPr>
        <w:jc w:val="center"/>
      </w:pPr>
      <w:r>
        <w:drawing>
          <wp:inline xmlns:a="http://schemas.openxmlformats.org/drawingml/2006/main" xmlns:pic="http://schemas.openxmlformats.org/drawingml/2006/picture">
            <wp:extent cx="5669280" cy="3163249"/>
            <wp:docPr id="19" name="Picture 19"/>
            <wp:cNvGraphicFramePr>
              <a:graphicFrameLocks noChangeAspect="1"/>
            </wp:cNvGraphicFramePr>
            <a:graphic>
              <a:graphicData uri="http://schemas.openxmlformats.org/drawingml/2006/picture">
                <pic:pic>
                  <pic:nvPicPr>
                    <pic:cNvPr id="0" name="modeling_fig3.png"/>
                    <pic:cNvPicPr/>
                  </pic:nvPicPr>
                  <pic:blipFill>
                    <a:blip r:embed="rId30"/>
                    <a:stretch>
                      <a:fillRect/>
                    </a:stretch>
                  </pic:blipFill>
                  <pic:spPr>
                    <a:xfrm>
                      <a:off x="0" y="0"/>
                      <a:ext cx="5669280" cy="3163249"/>
                    </a:xfrm>
                    <a:prstGeom prst="rect"/>
                  </pic:spPr>
                </pic:pic>
              </a:graphicData>
            </a:graphic>
          </wp:inline>
        </w:drawing>
      </w:r>
    </w:p>
    <w:p>
      <w:pPr>
        <w:jc w:val="center"/>
      </w:pPr>
      <w:r>
        <w:rPr>
          <w:i/>
          <w:sz w:val="17"/>
        </w:rPr>
        <w:t>Figure 19. Controlled feature-engineering ablation.</w:t>
      </w:r>
    </w:p>
    <w:p>
      <w:r>
        <w:t>Under the same compact LightGBM configuration, the four additional features from Notebook 02 change Micro F1 by approximately -0.0011. This is a small negative difference. The experiment does not support a claim that the supplementary engineered features improve predictive accuracy for this model. Their value is primarily richer representation and interpretability.</w:t>
      </w:r>
    </w:p>
    <w:p>
      <w:r>
        <w:rPr>
          <w:b/>
          <w:color w:val="1F4E79"/>
        </w:rPr>
        <w:t>Key finding: Feature engineering claims are kept evidence-based: the supplementary features are interpretable, but they do not improve this held-out benchmark.</w:t>
      </w:r>
    </w:p>
    <w:p>
      <w:pPr>
        <w:pStyle w:val="1"/>
      </w:pPr>
      <w:r>
        <w:t>13. Geography versus Structural Vulnerability</w:t>
      </w:r>
    </w:p>
    <w:tbl>
      <w:tblPr>
        <w:tblStyle w:val="aff1"/>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Feature set</w:t>
            </w:r>
          </w:p>
        </w:tc>
        <w:tc>
          <w:tcPr>
            <w:tcW w:type="dxa" w:w="2556"/>
            <w:shd w:fill="D9EAF7"/>
          </w:tcPr>
          <w:p>
            <w:r>
              <w:rPr>
                <w:b/>
                <w:sz w:val="17"/>
              </w:rPr>
              <w:t>Micro F1</w:t>
            </w:r>
          </w:p>
        </w:tc>
        <w:tc>
          <w:tcPr>
            <w:tcW w:type="dxa" w:w="2556"/>
            <w:shd w:fill="D9EAF7"/>
          </w:tcPr>
          <w:p>
            <w:r>
              <w:rPr>
                <w:b/>
                <w:sz w:val="17"/>
              </w:rPr>
              <w:t>Macro F1</w:t>
            </w:r>
          </w:p>
        </w:tc>
        <w:tc>
          <w:tcPr>
            <w:tcW w:type="dxa" w:w="2556"/>
            <w:shd w:fill="D9EAF7"/>
          </w:tcPr>
          <w:p>
            <w:r>
              <w:rPr>
                <w:b/>
                <w:sz w:val="17"/>
              </w:rPr>
              <w:t>Grade-3 Recall</w:t>
            </w:r>
          </w:p>
        </w:tc>
      </w:tr>
      <w:tr>
        <w:tc>
          <w:tcPr>
            <w:tcW w:type="dxa" w:w="2556"/>
            <w:vAlign w:val="top"/>
          </w:tcPr>
          <w:p>
            <w:r>
              <w:rPr>
                <w:sz w:val="17"/>
              </w:rPr>
              <w:t>Geography only</w:t>
            </w:r>
          </w:p>
        </w:tc>
        <w:tc>
          <w:tcPr>
            <w:tcW w:type="dxa" w:w="2556"/>
            <w:vAlign w:val="top"/>
          </w:tcPr>
          <w:p>
            <w:r>
              <w:rPr>
                <w:sz w:val="17"/>
              </w:rPr>
              <w:t>0.7166</w:t>
            </w:r>
          </w:p>
        </w:tc>
        <w:tc>
          <w:tcPr>
            <w:tcW w:type="dxa" w:w="2556"/>
            <w:vAlign w:val="top"/>
          </w:tcPr>
          <w:p>
            <w:r>
              <w:rPr>
                <w:sz w:val="17"/>
              </w:rPr>
              <w:t>0.6150</w:t>
            </w:r>
          </w:p>
        </w:tc>
        <w:tc>
          <w:tcPr>
            <w:tcW w:type="dxa" w:w="2556"/>
            <w:vAlign w:val="top"/>
          </w:tcPr>
          <w:p>
            <w:r>
              <w:rPr>
                <w:sz w:val="17"/>
              </w:rPr>
              <w:t>0.5901</w:t>
            </w:r>
          </w:p>
        </w:tc>
      </w:tr>
      <w:tr>
        <w:tc>
          <w:tcPr>
            <w:tcW w:type="dxa" w:w="2556"/>
            <w:vAlign w:val="top"/>
          </w:tcPr>
          <w:p>
            <w:r>
              <w:rPr>
                <w:sz w:val="17"/>
              </w:rPr>
              <w:t>Structure only</w:t>
            </w:r>
          </w:p>
        </w:tc>
        <w:tc>
          <w:tcPr>
            <w:tcW w:type="dxa" w:w="2556"/>
            <w:vAlign w:val="top"/>
          </w:tcPr>
          <w:p>
            <w:r>
              <w:rPr>
                <w:sz w:val="17"/>
              </w:rPr>
              <w:t>0.6201</w:t>
            </w:r>
          </w:p>
        </w:tc>
        <w:tc>
          <w:tcPr>
            <w:tcW w:type="dxa" w:w="2556"/>
            <w:vAlign w:val="top"/>
          </w:tcPr>
          <w:p>
            <w:r>
              <w:rPr>
                <w:sz w:val="17"/>
              </w:rPr>
              <w:t>0.5310</w:t>
            </w:r>
          </w:p>
        </w:tc>
        <w:tc>
          <w:tcPr>
            <w:tcW w:type="dxa" w:w="2556"/>
            <w:vAlign w:val="top"/>
          </w:tcPr>
          <w:p>
            <w:r>
              <w:rPr>
                <w:sz w:val="17"/>
              </w:rPr>
              <w:t>0.3081</w:t>
            </w:r>
          </w:p>
        </w:tc>
      </w:tr>
      <w:tr>
        <w:tc>
          <w:tcPr>
            <w:tcW w:type="dxa" w:w="2556"/>
            <w:vAlign w:val="top"/>
          </w:tcPr>
          <w:p>
            <w:r>
              <w:rPr>
                <w:sz w:val="17"/>
              </w:rPr>
              <w:t>Full compact model</w:t>
            </w:r>
          </w:p>
        </w:tc>
        <w:tc>
          <w:tcPr>
            <w:tcW w:type="dxa" w:w="2556"/>
            <w:vAlign w:val="top"/>
          </w:tcPr>
          <w:p>
            <w:r>
              <w:rPr>
                <w:sz w:val="17"/>
              </w:rPr>
              <w:t>0.7387</w:t>
            </w:r>
          </w:p>
        </w:tc>
        <w:tc>
          <w:tcPr>
            <w:tcW w:type="dxa" w:w="2556"/>
            <w:vAlign w:val="top"/>
          </w:tcPr>
          <w:p>
            <w:r>
              <w:rPr>
                <w:sz w:val="17"/>
              </w:rPr>
              <w:t>0.6816</w:t>
            </w:r>
          </w:p>
        </w:tc>
        <w:tc>
          <w:tcPr>
            <w:tcW w:type="dxa" w:w="2556"/>
            <w:vAlign w:val="top"/>
          </w:tcPr>
          <w:p>
            <w:r>
              <w:rPr>
                <w:sz w:val="17"/>
              </w:rPr>
              <w:t>0.6079</w:t>
            </w:r>
          </w:p>
        </w:tc>
      </w:tr>
    </w:tbl>
    <w:p>
      <w:pPr>
        <w:jc w:val="center"/>
      </w:pPr>
      <w:r>
        <w:drawing>
          <wp:inline xmlns:a="http://schemas.openxmlformats.org/drawingml/2006/main" xmlns:pic="http://schemas.openxmlformats.org/drawingml/2006/picture">
            <wp:extent cx="5760720" cy="3163094"/>
            <wp:docPr id="20" name="Picture 20"/>
            <wp:cNvGraphicFramePr>
              <a:graphicFrameLocks noChangeAspect="1"/>
            </wp:cNvGraphicFramePr>
            <a:graphic>
              <a:graphicData uri="http://schemas.openxmlformats.org/drawingml/2006/picture">
                <pic:pic>
                  <pic:nvPicPr>
                    <pic:cNvPr id="0" name="modeling_fig4.png"/>
                    <pic:cNvPicPr/>
                  </pic:nvPicPr>
                  <pic:blipFill>
                    <a:blip r:embed="rId31"/>
                    <a:stretch>
                      <a:fillRect/>
                    </a:stretch>
                  </pic:blipFill>
                  <pic:spPr>
                    <a:xfrm>
                      <a:off x="0" y="0"/>
                      <a:ext cx="5760720" cy="3163094"/>
                    </a:xfrm>
                    <a:prstGeom prst="rect"/>
                  </pic:spPr>
                </pic:pic>
              </a:graphicData>
            </a:graphic>
          </wp:inline>
        </w:drawing>
      </w:r>
    </w:p>
    <w:p>
      <w:pPr>
        <w:jc w:val="center"/>
      </w:pPr>
      <w:r>
        <w:rPr>
          <w:i/>
          <w:sz w:val="17"/>
        </w:rPr>
        <w:t>Figure 20. Predictive contribution of geography and structural information.</w:t>
      </w:r>
    </w:p>
    <w:p>
      <w:r>
        <w:t>Geography alone substantially outperforms the structure-only feature set. The full model still improves by about 2.2 Micro-F1 points over geography alone, so structural features carry incremental predictive value beyond location. The result is a predictive ablation, not a causal decomposition: geographic IDs can proxy shaking intensity, local construction practice, topography, and other unobserved factors.</w:t>
      </w:r>
    </w:p>
    <w:p>
      <w:r>
        <w:rPr>
          <w:b/>
          <w:color w:val="1F4E79"/>
        </w:rPr>
        <w:t>Key finding: Geography is the dominant source of signal under random validation, while structure provides measurable incremental information.</w:t>
      </w:r>
    </w:p>
    <w:p>
      <w:pPr>
        <w:pStyle w:val="1"/>
      </w:pPr>
      <w:r>
        <w:t>14. Geographic Holdout and Distribution Shift</w:t>
      </w:r>
    </w:p>
    <w:tbl>
      <w:tblPr>
        <w:tblStyle w:val="aff1"/>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7"/>
              </w:rPr>
              <w:t>Validation design</w:t>
            </w:r>
          </w:p>
        </w:tc>
        <w:tc>
          <w:tcPr>
            <w:tcW w:type="dxa" w:w="2556"/>
            <w:shd w:fill="D9EAF7"/>
          </w:tcPr>
          <w:p>
            <w:r>
              <w:rPr>
                <w:b/>
                <w:sz w:val="17"/>
              </w:rPr>
              <w:t>Micro F1</w:t>
            </w:r>
          </w:p>
        </w:tc>
        <w:tc>
          <w:tcPr>
            <w:tcW w:type="dxa" w:w="2556"/>
            <w:shd w:fill="D9EAF7"/>
          </w:tcPr>
          <w:p>
            <w:r>
              <w:rPr>
                <w:b/>
                <w:sz w:val="17"/>
              </w:rPr>
              <w:t>Macro F1</w:t>
            </w:r>
          </w:p>
        </w:tc>
        <w:tc>
          <w:tcPr>
            <w:tcW w:type="dxa" w:w="2556"/>
            <w:shd w:fill="D9EAF7"/>
          </w:tcPr>
          <w:p>
            <w:r>
              <w:rPr>
                <w:b/>
                <w:sz w:val="17"/>
              </w:rPr>
              <w:t>QWK</w:t>
            </w:r>
          </w:p>
        </w:tc>
      </w:tr>
      <w:tr>
        <w:tc>
          <w:tcPr>
            <w:tcW w:type="dxa" w:w="2556"/>
            <w:vAlign w:val="top"/>
          </w:tcPr>
          <w:p>
            <w:r>
              <w:rPr>
                <w:sz w:val="17"/>
              </w:rPr>
              <w:t>Random stratified holdout</w:t>
            </w:r>
          </w:p>
        </w:tc>
        <w:tc>
          <w:tcPr>
            <w:tcW w:type="dxa" w:w="2556"/>
            <w:vAlign w:val="top"/>
          </w:tcPr>
          <w:p>
            <w:r>
              <w:rPr>
                <w:sz w:val="17"/>
              </w:rPr>
              <w:t>0.7387</w:t>
            </w:r>
          </w:p>
        </w:tc>
        <w:tc>
          <w:tcPr>
            <w:tcW w:type="dxa" w:w="2556"/>
            <w:vAlign w:val="top"/>
          </w:tcPr>
          <w:p>
            <w:r>
              <w:rPr>
                <w:sz w:val="17"/>
              </w:rPr>
              <w:t>0.6816</w:t>
            </w:r>
          </w:p>
        </w:tc>
        <w:tc>
          <w:tcPr>
            <w:tcW w:type="dxa" w:w="2556"/>
            <w:vAlign w:val="top"/>
          </w:tcPr>
          <w:p>
            <w:r>
              <w:rPr>
                <w:sz w:val="17"/>
              </w:rPr>
              <w:t>0.5993</w:t>
            </w:r>
          </w:p>
        </w:tc>
      </w:tr>
      <w:tr>
        <w:tc>
          <w:tcPr>
            <w:tcW w:type="dxa" w:w="2556"/>
            <w:vAlign w:val="top"/>
          </w:tcPr>
          <w:p>
            <w:r>
              <w:rPr>
                <w:sz w:val="17"/>
              </w:rPr>
              <w:t>Unseen Geo-Level-1 holdout</w:t>
            </w:r>
          </w:p>
        </w:tc>
        <w:tc>
          <w:tcPr>
            <w:tcW w:type="dxa" w:w="2556"/>
            <w:vAlign w:val="top"/>
          </w:tcPr>
          <w:p>
            <w:r>
              <w:rPr>
                <w:sz w:val="17"/>
              </w:rPr>
              <w:t>0.5109</w:t>
            </w:r>
          </w:p>
        </w:tc>
        <w:tc>
          <w:tcPr>
            <w:tcW w:type="dxa" w:w="2556"/>
            <w:vAlign w:val="top"/>
          </w:tcPr>
          <w:p>
            <w:r>
              <w:rPr>
                <w:sz w:val="17"/>
              </w:rPr>
              <w:t>0.4335</w:t>
            </w:r>
          </w:p>
        </w:tc>
        <w:tc>
          <w:tcPr>
            <w:tcW w:type="dxa" w:w="2556"/>
            <w:vAlign w:val="top"/>
          </w:tcPr>
          <w:p>
            <w:r>
              <w:rPr>
                <w:sz w:val="17"/>
              </w:rPr>
              <w:t>0.2638</w:t>
            </w:r>
          </w:p>
        </w:tc>
      </w:tr>
    </w:tbl>
    <w:p>
      <w:pPr>
        <w:jc w:val="center"/>
      </w:pPr>
      <w:r>
        <w:drawing>
          <wp:inline xmlns:a="http://schemas.openxmlformats.org/drawingml/2006/main" xmlns:pic="http://schemas.openxmlformats.org/drawingml/2006/picture">
            <wp:extent cx="5760720" cy="3351578"/>
            <wp:docPr id="21" name="Picture 21"/>
            <wp:cNvGraphicFramePr>
              <a:graphicFrameLocks noChangeAspect="1"/>
            </wp:cNvGraphicFramePr>
            <a:graphic>
              <a:graphicData uri="http://schemas.openxmlformats.org/drawingml/2006/picture">
                <pic:pic>
                  <pic:nvPicPr>
                    <pic:cNvPr id="0" name="modeling_fig5.png"/>
                    <pic:cNvPicPr/>
                  </pic:nvPicPr>
                  <pic:blipFill>
                    <a:blip r:embed="rId32"/>
                    <a:stretch>
                      <a:fillRect/>
                    </a:stretch>
                  </pic:blipFill>
                  <pic:spPr>
                    <a:xfrm>
                      <a:off x="0" y="0"/>
                      <a:ext cx="5760720" cy="3351578"/>
                    </a:xfrm>
                    <a:prstGeom prst="rect"/>
                  </pic:spPr>
                </pic:pic>
              </a:graphicData>
            </a:graphic>
          </wp:inline>
        </w:drawing>
      </w:r>
    </w:p>
    <w:p>
      <w:pPr>
        <w:jc w:val="center"/>
      </w:pPr>
      <w:r>
        <w:rPr>
          <w:i/>
          <w:sz w:val="17"/>
        </w:rPr>
        <w:t>Figure 21. Random validation versus completely unseen Geo-Level-1 regions.</w:t>
      </w:r>
    </w:p>
    <w:p>
      <w:r>
        <w:t>The geographic holdout trains on 24 Geo-Level-1 groups and evaluates on seven completely different groups. Micro F1 falls to about 0.5109 and QWK to about 0.2638. The held-out regions also have a materially different target distribution, with Grade 3 around 45% versus roughly 28% in the geographic-holdout training subset. The drop therefore reflects a combined unseen-geography and target-distribution shift.</w:t>
      </w:r>
    </w:p>
    <w:p>
      <w:r>
        <w:rPr>
          <w:b/>
          <w:color w:val="1F4E79"/>
        </w:rPr>
        <w:t>Key finding: Strong same-distribution performance does not imply equivalent transfer to new regions; geographic generalization is the project’s main robustness limitation.</w:t>
      </w:r>
    </w:p>
    <w:p>
      <w:pPr>
        <w:pStyle w:val="1"/>
      </w:pPr>
      <w:r>
        <w:t>15. Explainability: What the Model Is Learning</w:t>
      </w:r>
    </w:p>
    <w:tbl>
      <w:tblPr>
        <w:tblStyle w:val="aff1"/>
        <w:tblW w:type="auto" w:w="0"/>
        <w:jc w:val="center"/>
        <w:tblLook w:firstColumn="1" w:firstRow="1" w:lastColumn="0" w:lastRow="0" w:noHBand="0" w:noVBand="1" w:val="04A0"/>
      </w:tblPr>
      <w:tblGrid>
        <w:gridCol w:w="5112"/>
        <w:gridCol w:w="5112"/>
      </w:tblGrid>
      <w:tr>
        <w:tc>
          <w:tcPr>
            <w:tcW w:type="dxa" w:w="6048"/>
            <w:shd w:fill="D9EAF7"/>
          </w:tcPr>
          <w:p>
            <w:r>
              <w:rPr>
                <w:b/>
                <w:sz w:val="17"/>
              </w:rPr>
              <w:t>Feature</w:t>
            </w:r>
          </w:p>
        </w:tc>
        <w:tc>
          <w:tcPr>
            <w:tcW w:type="dxa" w:w="2304"/>
            <w:shd w:fill="D9EAF7"/>
          </w:tcPr>
          <w:p>
            <w:r>
              <w:rPr>
                <w:b/>
                <w:sz w:val="17"/>
              </w:rPr>
              <w:t>Mean |SHAP|</w:t>
            </w:r>
          </w:p>
        </w:tc>
      </w:tr>
      <w:tr>
        <w:tc>
          <w:tcPr>
            <w:tcW w:type="dxa" w:w="6048"/>
            <w:vAlign w:val="top"/>
          </w:tcPr>
          <w:p>
            <w:r>
              <w:rPr>
                <w:sz w:val="17"/>
              </w:rPr>
              <w:t>geo_level_1_id</w:t>
            </w:r>
          </w:p>
        </w:tc>
        <w:tc>
          <w:tcPr>
            <w:tcW w:type="dxa" w:w="2304"/>
            <w:vAlign w:val="top"/>
          </w:tcPr>
          <w:p>
            <w:r>
              <w:rPr>
                <w:sz w:val="17"/>
              </w:rPr>
              <w:t>0.5340</w:t>
            </w:r>
          </w:p>
        </w:tc>
      </w:tr>
      <w:tr>
        <w:tc>
          <w:tcPr>
            <w:tcW w:type="dxa" w:w="6048"/>
            <w:vAlign w:val="top"/>
          </w:tcPr>
          <w:p>
            <w:r>
              <w:rPr>
                <w:sz w:val="17"/>
              </w:rPr>
              <w:t>geo_level_2_id</w:t>
            </w:r>
          </w:p>
        </w:tc>
        <w:tc>
          <w:tcPr>
            <w:tcW w:type="dxa" w:w="2304"/>
            <w:vAlign w:val="top"/>
          </w:tcPr>
          <w:p>
            <w:r>
              <w:rPr>
                <w:sz w:val="17"/>
              </w:rPr>
              <w:t>0.1503</w:t>
            </w:r>
          </w:p>
        </w:tc>
      </w:tr>
      <w:tr>
        <w:tc>
          <w:tcPr>
            <w:tcW w:type="dxa" w:w="6048"/>
            <w:vAlign w:val="top"/>
          </w:tcPr>
          <w:p>
            <w:r>
              <w:rPr>
                <w:sz w:val="17"/>
              </w:rPr>
              <w:t>age</w:t>
            </w:r>
          </w:p>
        </w:tc>
        <w:tc>
          <w:tcPr>
            <w:tcW w:type="dxa" w:w="2304"/>
            <w:vAlign w:val="top"/>
          </w:tcPr>
          <w:p>
            <w:r>
              <w:rPr>
                <w:sz w:val="17"/>
              </w:rPr>
              <w:t>0.1392</w:t>
            </w:r>
          </w:p>
        </w:tc>
      </w:tr>
      <w:tr>
        <w:tc>
          <w:tcPr>
            <w:tcW w:type="dxa" w:w="6048"/>
            <w:vAlign w:val="top"/>
          </w:tcPr>
          <w:p>
            <w:r>
              <w:rPr>
                <w:sz w:val="17"/>
              </w:rPr>
              <w:t>foundation_type</w:t>
            </w:r>
          </w:p>
        </w:tc>
        <w:tc>
          <w:tcPr>
            <w:tcW w:type="dxa" w:w="2304"/>
            <w:vAlign w:val="top"/>
          </w:tcPr>
          <w:p>
            <w:r>
              <w:rPr>
                <w:sz w:val="17"/>
              </w:rPr>
              <w:t>0.1343</w:t>
            </w:r>
          </w:p>
        </w:tc>
      </w:tr>
      <w:tr>
        <w:tc>
          <w:tcPr>
            <w:tcW w:type="dxa" w:w="6048"/>
            <w:vAlign w:val="top"/>
          </w:tcPr>
          <w:p>
            <w:r>
              <w:rPr>
                <w:sz w:val="17"/>
              </w:rPr>
              <w:t>has_superstructure_mud_mortar_stone</w:t>
            </w:r>
          </w:p>
        </w:tc>
        <w:tc>
          <w:tcPr>
            <w:tcW w:type="dxa" w:w="2304"/>
            <w:vAlign w:val="top"/>
          </w:tcPr>
          <w:p>
            <w:r>
              <w:rPr>
                <w:sz w:val="17"/>
              </w:rPr>
              <w:t>0.1080</w:t>
            </w:r>
          </w:p>
        </w:tc>
      </w:tr>
      <w:tr>
        <w:tc>
          <w:tcPr>
            <w:tcW w:type="dxa" w:w="6048"/>
            <w:vAlign w:val="top"/>
          </w:tcPr>
          <w:p>
            <w:r>
              <w:rPr>
                <w:sz w:val="17"/>
              </w:rPr>
              <w:t>other_floor_type</w:t>
            </w:r>
          </w:p>
        </w:tc>
        <w:tc>
          <w:tcPr>
            <w:tcW w:type="dxa" w:w="2304"/>
            <w:vAlign w:val="top"/>
          </w:tcPr>
          <w:p>
            <w:r>
              <w:rPr>
                <w:sz w:val="17"/>
              </w:rPr>
              <w:t>0.0660</w:t>
            </w:r>
          </w:p>
        </w:tc>
      </w:tr>
      <w:tr>
        <w:tc>
          <w:tcPr>
            <w:tcW w:type="dxa" w:w="6048"/>
            <w:vAlign w:val="top"/>
          </w:tcPr>
          <w:p>
            <w:r>
              <w:rPr>
                <w:sz w:val="17"/>
              </w:rPr>
              <w:t>ground_floor_type</w:t>
            </w:r>
          </w:p>
        </w:tc>
        <w:tc>
          <w:tcPr>
            <w:tcW w:type="dxa" w:w="2304"/>
            <w:vAlign w:val="top"/>
          </w:tcPr>
          <w:p>
            <w:r>
              <w:rPr>
                <w:sz w:val="17"/>
              </w:rPr>
              <w:t>0.0616</w:t>
            </w:r>
          </w:p>
        </w:tc>
      </w:tr>
      <w:tr>
        <w:tc>
          <w:tcPr>
            <w:tcW w:type="dxa" w:w="6048"/>
            <w:vAlign w:val="top"/>
          </w:tcPr>
          <w:p>
            <w:r>
              <w:rPr>
                <w:sz w:val="17"/>
              </w:rPr>
              <w:t>geo_level_3_id</w:t>
            </w:r>
          </w:p>
        </w:tc>
        <w:tc>
          <w:tcPr>
            <w:tcW w:type="dxa" w:w="2304"/>
            <w:vAlign w:val="top"/>
          </w:tcPr>
          <w:p>
            <w:r>
              <w:rPr>
                <w:sz w:val="17"/>
              </w:rPr>
              <w:t>0.0523</w:t>
            </w:r>
          </w:p>
        </w:tc>
      </w:tr>
      <w:tr>
        <w:tc>
          <w:tcPr>
            <w:tcW w:type="dxa" w:w="6048"/>
            <w:vAlign w:val="top"/>
          </w:tcPr>
          <w:p>
            <w:r>
              <w:rPr>
                <w:sz w:val="17"/>
              </w:rPr>
              <w:t>roof_type</w:t>
            </w:r>
          </w:p>
        </w:tc>
        <w:tc>
          <w:tcPr>
            <w:tcW w:type="dxa" w:w="2304"/>
            <w:vAlign w:val="top"/>
          </w:tcPr>
          <w:p>
            <w:r>
              <w:rPr>
                <w:sz w:val="17"/>
              </w:rPr>
              <w:t>0.0458</w:t>
            </w:r>
          </w:p>
        </w:tc>
      </w:tr>
    </w:tbl>
    <w:p>
      <w:pPr>
        <w:jc w:val="center"/>
      </w:pPr>
      <w:r>
        <w:drawing>
          <wp:inline xmlns:a="http://schemas.openxmlformats.org/drawingml/2006/main" xmlns:pic="http://schemas.openxmlformats.org/drawingml/2006/picture">
            <wp:extent cx="5577840" cy="4183380"/>
            <wp:docPr id="22" name="Picture 22"/>
            <wp:cNvGraphicFramePr>
              <a:graphicFrameLocks noChangeAspect="1"/>
            </wp:cNvGraphicFramePr>
            <a:graphic>
              <a:graphicData uri="http://schemas.openxmlformats.org/drawingml/2006/picture">
                <pic:pic>
                  <pic:nvPicPr>
                    <pic:cNvPr id="0" name="modeling_fig6.png"/>
                    <pic:cNvPicPr/>
                  </pic:nvPicPr>
                  <pic:blipFill>
                    <a:blip r:embed="rId33"/>
                    <a:stretch>
                      <a:fillRect/>
                    </a:stretch>
                  </pic:blipFill>
                  <pic:spPr>
                    <a:xfrm>
                      <a:off x="0" y="0"/>
                      <a:ext cx="5577840" cy="4183380"/>
                    </a:xfrm>
                    <a:prstGeom prst="rect"/>
                  </pic:spPr>
                </pic:pic>
              </a:graphicData>
            </a:graphic>
          </wp:inline>
        </w:drawing>
      </w:r>
    </w:p>
    <w:p>
      <w:pPr>
        <w:jc w:val="center"/>
      </w:pPr>
      <w:r>
        <w:rPr>
          <w:i/>
          <w:sz w:val="17"/>
        </w:rPr>
        <w:t>Figure 22. Global SHAP importance from the compact LightGBM interpretation model.</w:t>
      </w:r>
    </w:p>
    <w:p>
      <w:r>
        <w:t>The SHAP ranking is consistent with the exploratory analysis. Geo Level 1 is the dominant feature by a large margin; finer geography, age, foundation, mud-mortar-stone construction, floor type, roof type, and floor count also contribute. These values quantify predictive association and should not be read as causal safety effects.</w:t>
      </w:r>
    </w:p>
    <w:p>
      <w:r>
        <w:rPr>
          <w:b/>
          <w:color w:val="1F4E79"/>
        </w:rPr>
        <w:t>Key finding: The model-level evidence reinforces the EDA story: location dominates, followed by age and structural-system variables.</w:t>
      </w:r>
    </w:p>
    <w:p>
      <w:pPr>
        <w:pStyle w:val="1"/>
      </w:pPr>
      <w:r>
        <w:t>16. Post-Earthquake Inspection Prioritization</w:t>
      </w:r>
    </w:p>
    <w:tbl>
      <w:tblPr>
        <w:tblStyle w:val="aff1"/>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6"/>
              </w:rPr>
              <w:t>Inspection budget</w:t>
            </w:r>
          </w:p>
        </w:tc>
        <w:tc>
          <w:tcPr>
            <w:tcW w:type="dxa" w:w="2045"/>
            <w:shd w:fill="D9EAF7"/>
          </w:tcPr>
          <w:p>
            <w:r>
              <w:rPr>
                <w:b/>
                <w:sz w:val="16"/>
              </w:rPr>
              <w:t>Buildings selected</w:t>
            </w:r>
          </w:p>
        </w:tc>
        <w:tc>
          <w:tcPr>
            <w:tcW w:type="dxa" w:w="2045"/>
            <w:shd w:fill="D9EAF7"/>
          </w:tcPr>
          <w:p>
            <w:r>
              <w:rPr>
                <w:b/>
                <w:sz w:val="16"/>
              </w:rPr>
              <w:t>Precision@K</w:t>
            </w:r>
          </w:p>
        </w:tc>
        <w:tc>
          <w:tcPr>
            <w:tcW w:type="dxa" w:w="2045"/>
            <w:shd w:fill="D9EAF7"/>
          </w:tcPr>
          <w:p>
            <w:r>
              <w:rPr>
                <w:b/>
                <w:sz w:val="16"/>
              </w:rPr>
              <w:t>Recall@K</w:t>
            </w:r>
          </w:p>
        </w:tc>
        <w:tc>
          <w:tcPr>
            <w:tcW w:type="dxa" w:w="2045"/>
            <w:shd w:fill="D9EAF7"/>
          </w:tcPr>
          <w:p>
            <w:r>
              <w:rPr>
                <w:b/>
                <w:sz w:val="16"/>
              </w:rPr>
              <w:t>Lift@K</w:t>
            </w:r>
          </w:p>
        </w:tc>
      </w:tr>
      <w:tr>
        <w:tc>
          <w:tcPr>
            <w:tcW w:type="dxa" w:w="2045"/>
            <w:vAlign w:val="top"/>
          </w:tcPr>
          <w:p>
            <w:r>
              <w:rPr>
                <w:sz w:val="16"/>
              </w:rPr>
              <w:t>5%</w:t>
            </w:r>
          </w:p>
        </w:tc>
        <w:tc>
          <w:tcPr>
            <w:tcW w:type="dxa" w:w="2045"/>
            <w:vAlign w:val="top"/>
          </w:tcPr>
          <w:p>
            <w:r>
              <w:rPr>
                <w:sz w:val="16"/>
              </w:rPr>
              <w:t>2,606</w:t>
            </w:r>
          </w:p>
        </w:tc>
        <w:tc>
          <w:tcPr>
            <w:tcW w:type="dxa" w:w="2045"/>
            <w:vAlign w:val="top"/>
          </w:tcPr>
          <w:p>
            <w:r>
              <w:rPr>
                <w:sz w:val="16"/>
              </w:rPr>
              <w:t>0.9662</w:t>
            </w:r>
          </w:p>
        </w:tc>
        <w:tc>
          <w:tcPr>
            <w:tcW w:type="dxa" w:w="2045"/>
            <w:vAlign w:val="top"/>
          </w:tcPr>
          <w:p>
            <w:r>
              <w:rPr>
                <w:sz w:val="16"/>
              </w:rPr>
              <w:t>0.1443</w:t>
            </w:r>
          </w:p>
        </w:tc>
        <w:tc>
          <w:tcPr>
            <w:tcW w:type="dxa" w:w="2045"/>
            <w:vAlign w:val="top"/>
          </w:tcPr>
          <w:p>
            <w:r>
              <w:rPr>
                <w:sz w:val="16"/>
              </w:rPr>
              <w:t>2.8870</w:t>
            </w:r>
          </w:p>
        </w:tc>
      </w:tr>
      <w:tr>
        <w:tc>
          <w:tcPr>
            <w:tcW w:type="dxa" w:w="2045"/>
            <w:vAlign w:val="top"/>
          </w:tcPr>
          <w:p>
            <w:r>
              <w:rPr>
                <w:sz w:val="16"/>
              </w:rPr>
              <w:t>10%</w:t>
            </w:r>
          </w:p>
        </w:tc>
        <w:tc>
          <w:tcPr>
            <w:tcW w:type="dxa" w:w="2045"/>
            <w:vAlign w:val="top"/>
          </w:tcPr>
          <w:p>
            <w:r>
              <w:rPr>
                <w:sz w:val="16"/>
              </w:rPr>
              <w:t>5,212</w:t>
            </w:r>
          </w:p>
        </w:tc>
        <w:tc>
          <w:tcPr>
            <w:tcW w:type="dxa" w:w="2045"/>
            <w:vAlign w:val="top"/>
          </w:tcPr>
          <w:p>
            <w:r>
              <w:rPr>
                <w:sz w:val="16"/>
              </w:rPr>
              <w:t>0.9390</w:t>
            </w:r>
          </w:p>
        </w:tc>
        <w:tc>
          <w:tcPr>
            <w:tcW w:type="dxa" w:w="2045"/>
            <w:vAlign w:val="top"/>
          </w:tcPr>
          <w:p>
            <w:r>
              <w:rPr>
                <w:sz w:val="16"/>
              </w:rPr>
              <w:t>0.2806</w:t>
            </w:r>
          </w:p>
        </w:tc>
        <w:tc>
          <w:tcPr>
            <w:tcW w:type="dxa" w:w="2045"/>
            <w:vAlign w:val="top"/>
          </w:tcPr>
          <w:p>
            <w:r>
              <w:rPr>
                <w:sz w:val="16"/>
              </w:rPr>
              <w:t>2.8056</w:t>
            </w:r>
          </w:p>
        </w:tc>
      </w:tr>
      <w:tr>
        <w:tc>
          <w:tcPr>
            <w:tcW w:type="dxa" w:w="2045"/>
            <w:vAlign w:val="top"/>
          </w:tcPr>
          <w:p>
            <w:r>
              <w:rPr>
                <w:sz w:val="16"/>
              </w:rPr>
              <w:t>20%</w:t>
            </w:r>
          </w:p>
        </w:tc>
        <w:tc>
          <w:tcPr>
            <w:tcW w:type="dxa" w:w="2045"/>
            <w:vAlign w:val="top"/>
          </w:tcPr>
          <w:p>
            <w:r>
              <w:rPr>
                <w:sz w:val="16"/>
              </w:rPr>
              <w:t>10,424</w:t>
            </w:r>
          </w:p>
        </w:tc>
        <w:tc>
          <w:tcPr>
            <w:tcW w:type="dxa" w:w="2045"/>
            <w:vAlign w:val="top"/>
          </w:tcPr>
          <w:p>
            <w:r>
              <w:rPr>
                <w:sz w:val="16"/>
              </w:rPr>
              <w:t>0.8408</w:t>
            </w:r>
          </w:p>
        </w:tc>
        <w:tc>
          <w:tcPr>
            <w:tcW w:type="dxa" w:w="2045"/>
            <w:vAlign w:val="top"/>
          </w:tcPr>
          <w:p>
            <w:r>
              <w:rPr>
                <w:sz w:val="16"/>
              </w:rPr>
              <w:t>0.5025</w:t>
            </w:r>
          </w:p>
        </w:tc>
        <w:tc>
          <w:tcPr>
            <w:tcW w:type="dxa" w:w="2045"/>
            <w:vAlign w:val="top"/>
          </w:tcPr>
          <w:p>
            <w:r>
              <w:rPr>
                <w:sz w:val="16"/>
              </w:rPr>
              <w:t>2.5124</w:t>
            </w:r>
          </w:p>
        </w:tc>
      </w:tr>
      <w:tr>
        <w:tc>
          <w:tcPr>
            <w:tcW w:type="dxa" w:w="2045"/>
            <w:vAlign w:val="top"/>
          </w:tcPr>
          <w:p>
            <w:r>
              <w:rPr>
                <w:sz w:val="16"/>
              </w:rPr>
              <w:t>30%</w:t>
            </w:r>
          </w:p>
        </w:tc>
        <w:tc>
          <w:tcPr>
            <w:tcW w:type="dxa" w:w="2045"/>
            <w:vAlign w:val="top"/>
          </w:tcPr>
          <w:p>
            <w:r>
              <w:rPr>
                <w:sz w:val="16"/>
              </w:rPr>
              <w:t>15,636</w:t>
            </w:r>
          </w:p>
        </w:tc>
        <w:tc>
          <w:tcPr>
            <w:tcW w:type="dxa" w:w="2045"/>
            <w:vAlign w:val="top"/>
          </w:tcPr>
          <w:p>
            <w:r>
              <w:rPr>
                <w:sz w:val="16"/>
              </w:rPr>
              <w:t>0.7438</w:t>
            </w:r>
          </w:p>
        </w:tc>
        <w:tc>
          <w:tcPr>
            <w:tcW w:type="dxa" w:w="2045"/>
            <w:vAlign w:val="top"/>
          </w:tcPr>
          <w:p>
            <w:r>
              <w:rPr>
                <w:sz w:val="16"/>
              </w:rPr>
              <w:t>0.6667</w:t>
            </w:r>
          </w:p>
        </w:tc>
        <w:tc>
          <w:tcPr>
            <w:tcW w:type="dxa" w:w="2045"/>
            <w:vAlign w:val="top"/>
          </w:tcPr>
          <w:p>
            <w:r>
              <w:rPr>
                <w:sz w:val="16"/>
              </w:rPr>
              <w:t>2.2224</w:t>
            </w:r>
          </w:p>
        </w:tc>
      </w:tr>
    </w:tbl>
    <w:p>
      <w:pPr>
        <w:jc w:val="center"/>
      </w:pPr>
      <w:r>
        <w:drawing>
          <wp:inline xmlns:a="http://schemas.openxmlformats.org/drawingml/2006/main" xmlns:pic="http://schemas.openxmlformats.org/drawingml/2006/picture">
            <wp:extent cx="5669280" cy="3500845"/>
            <wp:docPr id="23" name="Picture 23"/>
            <wp:cNvGraphicFramePr>
              <a:graphicFrameLocks noChangeAspect="1"/>
            </wp:cNvGraphicFramePr>
            <a:graphic>
              <a:graphicData uri="http://schemas.openxmlformats.org/drawingml/2006/picture">
                <pic:pic>
                  <pic:nvPicPr>
                    <pic:cNvPr id="0" name="modeling_fig7.png"/>
                    <pic:cNvPicPr/>
                  </pic:nvPicPr>
                  <pic:blipFill>
                    <a:blip r:embed="rId34"/>
                    <a:stretch>
                      <a:fillRect/>
                    </a:stretch>
                  </pic:blipFill>
                  <pic:spPr>
                    <a:xfrm>
                      <a:off x="0" y="0"/>
                      <a:ext cx="5669280" cy="3500845"/>
                    </a:xfrm>
                    <a:prstGeom prst="rect"/>
                  </pic:spPr>
                </pic:pic>
              </a:graphicData>
            </a:graphic>
          </wp:inline>
        </w:drawing>
      </w:r>
    </w:p>
    <w:p>
      <w:pPr>
        <w:jc w:val="center"/>
      </w:pPr>
      <w:r>
        <w:rPr>
          <w:i/>
          <w:sz w:val="17"/>
        </w:rPr>
        <w:t>Figure 23. Grade-3 precision and recall at different inspection budgets.</w:t>
      </w:r>
    </w:p>
    <w:p>
      <w:r>
        <w:t>The best model’s Grade-3 probability can be used as a ranking score. If inspectors can examine only the highest-risk 10% of validation buildings, approximately 93.9% of those selected are truly Grade 3 and the selected group contains about 28.1% of all Grade-3 buildings. At a 20% budget, recall rises to about 50.2% while precision remains about 84.1%.</w:t>
      </w:r>
    </w:p>
    <w:p>
      <w:r>
        <w:rPr>
          <w:b/>
          <w:color w:val="1F4E79"/>
        </w:rPr>
        <w:t>Key finding: Within the random-validation distribution, predicted risk is useful for concentrating scarce inspection resources on severely damaged buildings.</w:t>
      </w:r>
    </w:p>
    <w:p>
      <w:r>
        <w:br w:type="page"/>
      </w:r>
    </w:p>
    <w:p>
      <w:pPr>
        <w:jc w:val="center"/>
      </w:pPr>
      <w:r>
        <w:rPr>
          <w:b/>
          <w:color w:val="1F4E79"/>
          <w:sz w:val="36"/>
        </w:rPr>
        <w:t>Part III · Public Leaderboard Optimization</w:t>
      </w:r>
    </w:p>
    <w:p>
      <w:pPr>
        <w:pStyle w:val="1"/>
      </w:pPr>
      <w:r>
        <w:t>17. External Competition Validation</w:t>
      </w:r>
    </w:p>
    <w:p>
      <w:r>
        <w:t>The first DrivenData submission from the main LightGBM pipeline scored 0.7440, close to the internal best validation score of 0.7474. This small gap supports the usefulness of the fixed random split for same-distribution competition performance, while the geographic holdout remains the more demanding test of regional transfer.</w:t>
      </w:r>
    </w:p>
    <w:tbl>
      <w:tblPr>
        <w:tblStyle w:val="aff1"/>
        <w:tblW w:type="auto" w:w="0"/>
        <w:jc w:val="center"/>
        <w:tblLook w:firstColumn="1" w:firstRow="1" w:lastColumn="0" w:lastRow="0" w:noHBand="0" w:noVBand="1" w:val="04A0"/>
      </w:tblPr>
      <w:tblGrid>
        <w:gridCol w:w="3408"/>
        <w:gridCol w:w="3408"/>
        <w:gridCol w:w="3408"/>
      </w:tblGrid>
      <w:tr>
        <w:tc>
          <w:tcPr>
            <w:tcW w:type="dxa" w:w="1152"/>
            <w:shd w:fill="D9EAF7"/>
          </w:tcPr>
          <w:p>
            <w:r>
              <w:rPr>
                <w:b/>
                <w:sz w:val="16"/>
              </w:rPr>
              <w:t>Version</w:t>
            </w:r>
          </w:p>
        </w:tc>
        <w:tc>
          <w:tcPr>
            <w:tcW w:type="dxa" w:w="7056"/>
            <w:shd w:fill="D9EAF7"/>
          </w:tcPr>
          <w:p>
            <w:r>
              <w:rPr>
                <w:b/>
                <w:sz w:val="16"/>
              </w:rPr>
              <w:t>Method</w:t>
            </w:r>
          </w:p>
        </w:tc>
        <w:tc>
          <w:tcPr>
            <w:tcW w:type="dxa" w:w="1872"/>
            <w:shd w:fill="D9EAF7"/>
          </w:tcPr>
          <w:p>
            <w:r>
              <w:rPr>
                <w:b/>
                <w:sz w:val="16"/>
              </w:rPr>
              <w:t>Actual Public Micro F1</w:t>
            </w:r>
          </w:p>
        </w:tc>
      </w:tr>
      <w:tr>
        <w:tc>
          <w:tcPr>
            <w:tcW w:type="dxa" w:w="1152"/>
            <w:vAlign w:val="top"/>
          </w:tcPr>
          <w:p>
            <w:r>
              <w:rPr>
                <w:sz w:val="16"/>
              </w:rPr>
              <w:t>Original</w:t>
            </w:r>
          </w:p>
        </w:tc>
        <w:tc>
          <w:tcPr>
            <w:tcW w:type="dxa" w:w="7056"/>
            <w:vAlign w:val="top"/>
          </w:tcPr>
          <w:p>
            <w:r>
              <w:rPr>
                <w:sz w:val="16"/>
              </w:rPr>
              <w:t>LightGBM + One-Hot, lighter full-data fit</w:t>
            </w:r>
          </w:p>
        </w:tc>
        <w:tc>
          <w:tcPr>
            <w:tcW w:type="dxa" w:w="1872"/>
            <w:vAlign w:val="top"/>
          </w:tcPr>
          <w:p>
            <w:r>
              <w:rPr>
                <w:sz w:val="16"/>
              </w:rPr>
              <w:t>0.7440</w:t>
            </w:r>
          </w:p>
        </w:tc>
      </w:tr>
      <w:tr>
        <w:tc>
          <w:tcPr>
            <w:tcW w:type="dxa" w:w="1152"/>
            <w:vAlign w:val="top"/>
          </w:tcPr>
          <w:p>
            <w:r>
              <w:rPr>
                <w:sz w:val="16"/>
              </w:rPr>
              <w:t>A</w:t>
            </w:r>
          </w:p>
        </w:tc>
        <w:tc>
          <w:tcPr>
            <w:tcW w:type="dxa" w:w="7056"/>
            <w:vAlign w:val="top"/>
          </w:tcPr>
          <w:p>
            <w:r>
              <w:rPr>
                <w:sz w:val="16"/>
              </w:rPr>
              <w:t>LightGBM + One-Hot, 400 trees</w:t>
            </w:r>
          </w:p>
        </w:tc>
        <w:tc>
          <w:tcPr>
            <w:tcW w:type="dxa" w:w="1872"/>
            <w:vAlign w:val="top"/>
          </w:tcPr>
          <w:p>
            <w:r>
              <w:rPr>
                <w:sz w:val="16"/>
              </w:rPr>
              <w:t>0.7451</w:t>
            </w:r>
          </w:p>
        </w:tc>
      </w:tr>
      <w:tr>
        <w:tc>
          <w:tcPr>
            <w:tcW w:type="dxa" w:w="1152"/>
            <w:vAlign w:val="top"/>
          </w:tcPr>
          <w:p>
            <w:r>
              <w:rPr>
                <w:sz w:val="16"/>
              </w:rPr>
              <w:t>B</w:t>
            </w:r>
          </w:p>
        </w:tc>
        <w:tc>
          <w:tcPr>
            <w:tcW w:type="dxa" w:w="7056"/>
            <w:vAlign w:val="top"/>
          </w:tcPr>
          <w:p>
            <w:r>
              <w:rPr>
                <w:sz w:val="16"/>
              </w:rPr>
              <w:t>80% LightGBM + 20% Logistic blend</w:t>
            </w:r>
          </w:p>
        </w:tc>
        <w:tc>
          <w:tcPr>
            <w:tcW w:type="dxa" w:w="1872"/>
            <w:vAlign w:val="top"/>
          </w:tcPr>
          <w:p>
            <w:r>
              <w:rPr>
                <w:sz w:val="16"/>
              </w:rPr>
              <w:t>0.7456</w:t>
            </w:r>
          </w:p>
        </w:tc>
      </w:tr>
      <w:tr>
        <w:tc>
          <w:tcPr>
            <w:tcW w:type="dxa" w:w="1152"/>
            <w:vAlign w:val="top"/>
          </w:tcPr>
          <w:p>
            <w:r>
              <w:rPr>
                <w:sz w:val="16"/>
              </w:rPr>
              <w:t>C</w:t>
            </w:r>
          </w:p>
        </w:tc>
        <w:tc>
          <w:tcPr>
            <w:tcW w:type="dxa" w:w="7056"/>
            <w:vAlign w:val="top"/>
          </w:tcPr>
          <w:p>
            <w:r>
              <w:rPr>
                <w:sz w:val="16"/>
              </w:rPr>
              <w:t>Blend + mild class-score adjustment</w:t>
            </w:r>
          </w:p>
        </w:tc>
        <w:tc>
          <w:tcPr>
            <w:tcW w:type="dxa" w:w="1872"/>
            <w:vAlign w:val="top"/>
          </w:tcPr>
          <w:p>
            <w:r>
              <w:rPr>
                <w:sz w:val="16"/>
              </w:rPr>
              <w:t>0.7460</w:t>
            </w:r>
          </w:p>
        </w:tc>
      </w:tr>
      <w:tr>
        <w:tc>
          <w:tcPr>
            <w:tcW w:type="dxa" w:w="1152"/>
            <w:vAlign w:val="top"/>
          </w:tcPr>
          <w:p>
            <w:r>
              <w:rPr>
                <w:sz w:val="16"/>
              </w:rPr>
              <w:t>D</w:t>
            </w:r>
          </w:p>
        </w:tc>
        <w:tc>
          <w:tcPr>
            <w:tcW w:type="dxa" w:w="7056"/>
            <w:vAlign w:val="top"/>
          </w:tcPr>
          <w:p>
            <w:r>
              <w:rPr>
                <w:sz w:val="16"/>
              </w:rPr>
              <w:t>Native CatBoost</w:t>
            </w:r>
          </w:p>
        </w:tc>
        <w:tc>
          <w:tcPr>
            <w:tcW w:type="dxa" w:w="1872"/>
            <w:vAlign w:val="top"/>
          </w:tcPr>
          <w:p>
            <w:r>
              <w:rPr>
                <w:sz w:val="16"/>
              </w:rPr>
              <w:t>0.7486</w:t>
            </w:r>
          </w:p>
        </w:tc>
      </w:tr>
      <w:tr>
        <w:tc>
          <w:tcPr>
            <w:tcW w:type="dxa" w:w="1152"/>
            <w:vAlign w:val="top"/>
          </w:tcPr>
          <w:p>
            <w:r>
              <w:rPr>
                <w:sz w:val="16"/>
              </w:rPr>
              <w:t>E</w:t>
            </w:r>
          </w:p>
        </w:tc>
        <w:tc>
          <w:tcPr>
            <w:tcW w:type="dxa" w:w="7056"/>
            <w:vAlign w:val="top"/>
          </w:tcPr>
          <w:p>
            <w:r>
              <w:rPr>
                <w:sz w:val="16"/>
              </w:rPr>
              <w:t>LightGBM + CatBoost + Logistic blend</w:t>
            </w:r>
          </w:p>
        </w:tc>
        <w:tc>
          <w:tcPr>
            <w:tcW w:type="dxa" w:w="1872"/>
            <w:vAlign w:val="top"/>
          </w:tcPr>
          <w:p>
            <w:r>
              <w:rPr>
                <w:sz w:val="16"/>
              </w:rPr>
              <w:t>0.7494</w:t>
            </w:r>
          </w:p>
        </w:tc>
      </w:tr>
      <w:tr>
        <w:tc>
          <w:tcPr>
            <w:tcW w:type="dxa" w:w="1152"/>
            <w:vAlign w:val="top"/>
          </w:tcPr>
          <w:p>
            <w:r>
              <w:rPr>
                <w:sz w:val="16"/>
              </w:rPr>
              <w:t>F</w:t>
            </w:r>
          </w:p>
        </w:tc>
        <w:tc>
          <w:tcPr>
            <w:tcW w:type="dxa" w:w="7056"/>
            <w:vAlign w:val="top"/>
          </w:tcPr>
          <w:p>
            <w:r>
              <w:rPr>
                <w:sz w:val="16"/>
              </w:rPr>
              <w:t>Tuned CatBoost + tuned LightGBM probability ensemble</w:t>
            </w:r>
          </w:p>
        </w:tc>
        <w:tc>
          <w:tcPr>
            <w:tcW w:type="dxa" w:w="1872"/>
            <w:vAlign w:val="top"/>
          </w:tcPr>
          <w:p>
            <w:r>
              <w:rPr>
                <w:sz w:val="16"/>
              </w:rPr>
              <w:t>0.7515</w:t>
            </w:r>
          </w:p>
        </w:tc>
      </w:tr>
    </w:tbl>
    <w:p>
      <w:pPr>
        <w:jc w:val="center"/>
      </w:pPr>
      <w:r>
        <w:drawing>
          <wp:inline xmlns:a="http://schemas.openxmlformats.org/drawingml/2006/main" xmlns:pic="http://schemas.openxmlformats.org/drawingml/2006/picture">
            <wp:extent cx="5669280" cy="3048127"/>
            <wp:docPr id="24" name="Picture 24"/>
            <wp:cNvGraphicFramePr>
              <a:graphicFrameLocks noChangeAspect="1"/>
            </wp:cNvGraphicFramePr>
            <a:graphic>
              <a:graphicData uri="http://schemas.openxmlformats.org/drawingml/2006/picture">
                <pic:pic>
                  <pic:nvPicPr>
                    <pic:cNvPr id="0" name="leaderboard_progression.png"/>
                    <pic:cNvPicPr/>
                  </pic:nvPicPr>
                  <pic:blipFill>
                    <a:blip r:embed="rId35"/>
                    <a:stretch>
                      <a:fillRect/>
                    </a:stretch>
                  </pic:blipFill>
                  <pic:spPr>
                    <a:xfrm>
                      <a:off x="0" y="0"/>
                      <a:ext cx="5669280" cy="3048127"/>
                    </a:xfrm>
                    <a:prstGeom prst="rect"/>
                  </pic:spPr>
                </pic:pic>
              </a:graphicData>
            </a:graphic>
          </wp:inline>
        </w:drawing>
      </w:r>
    </w:p>
    <w:p>
      <w:pPr>
        <w:jc w:val="center"/>
      </w:pPr>
      <w:r>
        <w:rPr>
          <w:i/>
          <w:sz w:val="17"/>
        </w:rPr>
        <w:t>Figure 24. Actual public-score progression across submitted leaderboard candidates.</w:t>
      </w:r>
    </w:p>
    <w:p>
      <w:r>
        <w:t>The public score improved monotonically from 0.7440 to 0.7515. Small LightGBM configuration changes and score adjustments yielded incremental gains. The larger improvements came from adding a genuinely different model family, CatBoost, and then tuning the LightGBM and CatBoost base models before probability ensembling.</w:t>
      </w:r>
    </w:p>
    <w:p>
      <w:r>
        <w:t>At the time of the latest recorded submission, the observed leaderboard leader scored 0.7564. The project’s best score of 0.7515 ranked 252nd out of 2,761 competitors, approximately the top 9.1% of the public leaderboard, and was 0.0049 below the observed leader.</w:t>
      </w:r>
    </w:p>
    <w:p>
      <w:r>
        <w:rPr>
          <w:b/>
          <w:color w:val="1F4E79"/>
        </w:rPr>
        <w:t>Key finding: The highest public result is achieved by tuned CatBoost + tuned LightGBM probability ensembling, reaching 0.7515 and a top-9.1% recorded position.</w:t>
      </w:r>
    </w:p>
    <w:p>
      <w:pPr>
        <w:pStyle w:val="1"/>
      </w:pPr>
      <w:r>
        <w:t>18. Final Leaderboard Implementation</w:t>
      </w:r>
    </w:p>
    <w:p>
      <w:r>
        <w:t>The final leaderboard notebook is 04_CatBoost_LightGBM_Tuning_Ensemble.ipynb. It uses the same fixed validation split and final Notebook-02 features as the main modeling pipeline, then performs controlled candidate searches for both LightGBM and CatBoost. LightGBM candidates vary tree complexity, learning rate, child-size constraints, feature subsampling, and regularization. CatBoost candidates vary depth, learning rate, L2 regularization, random strength, and bagging temperature. Early stopping determines the effective iteration count for each candidate.</w:t>
      </w:r>
    </w:p>
    <w:p>
      <w:r>
        <w:t>After selecting the strongest individual LightGBM and CatBoost configurations on validation data, the notebook searches a transparent probability-blend weight. The selected architecture is then refit on all labeled observations and applied once to the official test set. This procedure separates model selection from final test prediction and keeps the leaderboard stage reproducible.</w:t>
      </w:r>
    </w:p>
    <w:tbl>
      <w:tblPr>
        <w:tblStyle w:val="aff1"/>
        <w:tblW w:type="auto" w:w="0"/>
        <w:jc w:val="center"/>
        <w:tblLook w:firstColumn="1" w:firstRow="1" w:lastColumn="0" w:lastRow="0" w:noHBand="0" w:noVBand="1" w:val="04A0"/>
      </w:tblPr>
      <w:tblGrid>
        <w:gridCol w:w="5112"/>
        <w:gridCol w:w="5112"/>
      </w:tblGrid>
      <w:tr>
        <w:tc>
          <w:tcPr>
            <w:tcW w:type="dxa" w:w="1872"/>
            <w:shd w:fill="D9EAF7"/>
          </w:tcPr>
          <w:p>
            <w:r>
              <w:rPr>
                <w:b/>
                <w:sz w:val="17"/>
              </w:rPr>
              <w:t>Model family</w:t>
            </w:r>
          </w:p>
        </w:tc>
        <w:tc>
          <w:tcPr>
            <w:tcW w:type="dxa" w:w="7776"/>
            <w:shd w:fill="D9EAF7"/>
          </w:tcPr>
          <w:p>
            <w:r>
              <w:rPr>
                <w:b/>
                <w:sz w:val="17"/>
              </w:rPr>
              <w:t>Candidate design</w:t>
            </w:r>
          </w:p>
        </w:tc>
      </w:tr>
      <w:tr>
        <w:tc>
          <w:tcPr>
            <w:tcW w:type="dxa" w:w="1872"/>
            <w:vAlign w:val="top"/>
          </w:tcPr>
          <w:p>
            <w:r>
              <w:rPr>
                <w:sz w:val="17"/>
              </w:rPr>
              <w:t>LightGBM</w:t>
            </w:r>
          </w:p>
        </w:tc>
        <w:tc>
          <w:tcPr>
            <w:tcW w:type="dxa" w:w="7776"/>
            <w:vAlign w:val="top"/>
          </w:tcPr>
          <w:p>
            <w:r>
              <w:rPr>
                <w:sz w:val="17"/>
              </w:rPr>
              <w:t>Balanced 63-leaf configuration; deeper 127-leaf configuration; stronger-regularization 63-leaf configuration, all with early stopping.</w:t>
            </w:r>
          </w:p>
        </w:tc>
      </w:tr>
      <w:tr>
        <w:tc>
          <w:tcPr>
            <w:tcW w:type="dxa" w:w="1872"/>
            <w:vAlign w:val="top"/>
          </w:tcPr>
          <w:p>
            <w:r>
              <w:rPr>
                <w:sz w:val="17"/>
              </w:rPr>
              <w:t>CatBoost</w:t>
            </w:r>
          </w:p>
        </w:tc>
        <w:tc>
          <w:tcPr>
            <w:tcW w:type="dxa" w:w="7776"/>
            <w:vAlign w:val="top"/>
          </w:tcPr>
          <w:p>
            <w:r>
              <w:rPr>
                <w:sz w:val="17"/>
              </w:rPr>
              <w:t>Depth-8, depth-9, and more strongly regularized depth-8 configurations with native categorical handling and early stopping.</w:t>
            </w:r>
          </w:p>
        </w:tc>
      </w:tr>
      <w:tr>
        <w:tc>
          <w:tcPr>
            <w:tcW w:type="dxa" w:w="1872"/>
            <w:vAlign w:val="top"/>
          </w:tcPr>
          <w:p>
            <w:r>
              <w:rPr>
                <w:sz w:val="17"/>
              </w:rPr>
              <w:t>Final ensemble</w:t>
            </w:r>
          </w:p>
        </w:tc>
        <w:tc>
          <w:tcPr>
            <w:tcW w:type="dxa" w:w="7776"/>
            <w:vAlign w:val="top"/>
          </w:tcPr>
          <w:p>
            <w:r>
              <w:rPr>
                <w:sz w:val="17"/>
              </w:rPr>
              <w:t>Weighted average of the selected CatBoost and LightGBM class probabilities; blend adopted only when validation evidence supports it.</w:t>
            </w:r>
          </w:p>
        </w:tc>
      </w:tr>
    </w:tbl>
    <w:p>
      <w:r>
        <w:br w:type="page"/>
      </w:r>
    </w:p>
    <w:p>
      <w:pPr>
        <w:jc w:val="center"/>
      </w:pPr>
      <w:r>
        <w:rPr>
          <w:b/>
          <w:color w:val="1F4E79"/>
          <w:sz w:val="36"/>
        </w:rPr>
        <w:t>Part IV · Final Conclusions, Limitations and Reproducibility</w:t>
      </w:r>
    </w:p>
    <w:p>
      <w:pPr>
        <w:pStyle w:val="1"/>
      </w:pPr>
      <w:r>
        <w:t>19. Complete Project Conclusions</w:t>
      </w:r>
    </w:p>
    <w:p>
      <w:pPr>
        <w:pStyle w:val="a0"/>
      </w:pPr>
      <w:r>
        <w:t>The official dataset is clean and internally consistent, so representation, feature engineering, and leakage prevention matter more than missing-value repair.</w:t>
      </w:r>
    </w:p>
    <w:p>
      <w:pPr>
        <w:pStyle w:val="a0"/>
      </w:pPr>
      <w:r>
        <w:t>The target is imbalanced, making Macro F1 and class-level metrics necessary alongside the official Micro F1.</w:t>
      </w:r>
    </w:p>
    <w:p>
      <w:pPr>
        <w:pStyle w:val="a0"/>
      </w:pPr>
      <w:r>
        <w:t>EDA and SHAP consistently identify geography, foundation, roof, material, age, and floor-related variables as important predictive signals.</w:t>
      </w:r>
    </w:p>
    <w:p>
      <w:pPr>
        <w:pStyle w:val="a0"/>
      </w:pPr>
      <w:r>
        <w:t>The strongest course-project validation model is LightGBM + One-Hot with Micro F1 = 0.7474.</w:t>
      </w:r>
    </w:p>
    <w:p>
      <w:pPr>
        <w:pStyle w:val="a0"/>
      </w:pPr>
      <w:r>
        <w:t>The four supplementary engineered features do not improve the controlled compact-LightGBM validation result, so the project does not overclaim their predictive value.</w:t>
      </w:r>
    </w:p>
    <w:p>
      <w:pPr>
        <w:pStyle w:val="a0"/>
      </w:pPr>
      <w:r>
        <w:t>Geography is the dominant predictive source under random validation, while structural variables still add incremental information.</w:t>
      </w:r>
    </w:p>
    <w:p>
      <w:pPr>
        <w:pStyle w:val="a0"/>
      </w:pPr>
      <w:r>
        <w:t>A completely unseen Geo-Level-1 holdout causes a large performance drop, demonstrating a serious transferability limitation under regional distribution shift.</w:t>
      </w:r>
    </w:p>
    <w:p>
      <w:pPr>
        <w:pStyle w:val="a0"/>
      </w:pPr>
      <w:r>
        <w:t>Risk probabilities can support inspection prioritization within the familiar validation distribution.</w:t>
      </w:r>
    </w:p>
    <w:p>
      <w:pPr>
        <w:pStyle w:val="a0"/>
      </w:pPr>
      <w:r>
        <w:t>Leaderboard optimization benefits more from stronger model diversity and tuned ensembling than from small tree-count or score-threshold adjustments.</w:t>
      </w:r>
    </w:p>
    <w:p>
      <w:pPr>
        <w:pStyle w:val="a0"/>
      </w:pPr>
      <w:r>
        <w:t>The final tuned CatBoost + tuned LightGBM ensemble reaches an actual public Micro F1 of 0.7515, recorded at rank 252 of 2,761 competitors (top 9.1%).</w:t>
      </w:r>
    </w:p>
    <w:p>
      <w:pPr>
        <w:pStyle w:val="1"/>
      </w:pPr>
      <w:r>
        <w:t>20. Interpretation Limits and Deployment Cautions</w:t>
      </w:r>
    </w:p>
    <w:p>
      <w:pPr>
        <w:pStyle w:val="a0"/>
      </w:pPr>
      <w:r>
        <w:t>All EDA, feature importance, and SHAP findings are observational and predictive; they do not establish causal effects of construction choices or geography.</w:t>
      </w:r>
    </w:p>
    <w:p>
      <w:pPr>
        <w:pStyle w:val="a0"/>
      </w:pPr>
      <w:r>
        <w:t>Geographic damage-rate summaries use the target and therefore remain outside the model feature matrix unless a leakage-safe out-of-fold encoding is explicitly designed.</w:t>
      </w:r>
    </w:p>
    <w:p>
      <w:pPr>
        <w:pStyle w:val="a0"/>
      </w:pPr>
      <w:r>
        <w:t>The geographic holdout changes both geographic composition and class distribution, so its performance drop is a combined domain-shift effect rather than a pure memorization estimate.</w:t>
      </w:r>
    </w:p>
    <w:p>
      <w:pPr>
        <w:pStyle w:val="a0"/>
      </w:pPr>
      <w:r>
        <w:t>The dataset contains geographic identifiers but not direct shaking intensity, soil condition, or precise spatial coordinates, limiting physical interpretation.</w:t>
      </w:r>
    </w:p>
    <w:p>
      <w:pPr>
        <w:pStyle w:val="a0"/>
      </w:pPr>
      <w:r>
        <w:t>The public leaderboard is useful external evidence, but repeated leaderboard tuning can overfit the public test subset; the fixed validation experiments remain the primary academic evidence.</w:t>
      </w:r>
    </w:p>
    <w:p>
      <w:pPr>
        <w:pStyle w:val="a0"/>
      </w:pPr>
      <w:r>
        <w:t>Inspection-prioritization results are validated under the random-split distribution and require separate calibration before operational use in unseen regions.</w:t>
      </w:r>
    </w:p>
    <w:p>
      <w:pPr>
        <w:pStyle w:val="1"/>
      </w:pPr>
      <w:r>
        <w:t>21. Reproducibility and Project Workflow</w:t>
      </w:r>
    </w:p>
    <w:p>
      <w:r>
        <w:t>The coding pipeline is intentionally modular and should be run in sequence:</w:t>
      </w:r>
    </w:p>
    <w:tbl>
      <w:tblPr>
        <w:tblStyle w:val="aff1"/>
        <w:tblW w:type="auto" w:w="0"/>
        <w:jc w:val="center"/>
        <w:tblLook w:firstColumn="1" w:firstRow="1" w:lastColumn="0" w:lastRow="0" w:noHBand="0" w:noVBand="1" w:val="04A0"/>
      </w:tblPr>
      <w:tblGrid>
        <w:gridCol w:w="3408"/>
        <w:gridCol w:w="3408"/>
        <w:gridCol w:w="3408"/>
      </w:tblGrid>
      <w:tr>
        <w:tc>
          <w:tcPr>
            <w:tcW w:type="dxa" w:w="864"/>
            <w:shd w:fill="D9EAF7"/>
          </w:tcPr>
          <w:p>
            <w:r>
              <w:rPr>
                <w:b/>
                <w:sz w:val="16"/>
              </w:rPr>
              <w:t>Stage</w:t>
            </w:r>
          </w:p>
        </w:tc>
        <w:tc>
          <w:tcPr>
            <w:tcW w:type="dxa" w:w="3600"/>
            <w:shd w:fill="D9EAF7"/>
          </w:tcPr>
          <w:p>
            <w:r>
              <w:rPr>
                <w:b/>
                <w:sz w:val="16"/>
              </w:rPr>
              <w:t>Notebook</w:t>
            </w:r>
          </w:p>
        </w:tc>
        <w:tc>
          <w:tcPr>
            <w:tcW w:type="dxa" w:w="5760"/>
            <w:shd w:fill="D9EAF7"/>
          </w:tcPr>
          <w:p>
            <w:r>
              <w:rPr>
                <w:b/>
                <w:sz w:val="16"/>
              </w:rPr>
              <w:t>Main outputs</w:t>
            </w:r>
          </w:p>
        </w:tc>
      </w:tr>
      <w:tr>
        <w:tc>
          <w:tcPr>
            <w:tcW w:type="dxa" w:w="864"/>
            <w:vAlign w:val="top"/>
          </w:tcPr>
          <w:p>
            <w:r>
              <w:rPr>
                <w:sz w:val="16"/>
              </w:rPr>
              <w:t>01</w:t>
            </w:r>
          </w:p>
        </w:tc>
        <w:tc>
          <w:tcPr>
            <w:tcW w:type="dxa" w:w="3600"/>
            <w:vAlign w:val="top"/>
          </w:tcPr>
          <w:p>
            <w:r>
              <w:rPr>
                <w:sz w:val="16"/>
              </w:rPr>
              <w:t>01_Preprocessing_EDA.ipynb</w:t>
            </w:r>
          </w:p>
        </w:tc>
        <w:tc>
          <w:tcPr>
            <w:tcW w:type="dxa" w:w="5760"/>
            <w:vAlign w:val="top"/>
          </w:tcPr>
          <w:p>
            <w:r>
              <w:rPr>
                <w:sz w:val="16"/>
              </w:rPr>
              <w:t>Raw-data audit, core EDA, six engineered features, fixed train/validation split.</w:t>
            </w:r>
          </w:p>
        </w:tc>
      </w:tr>
      <w:tr>
        <w:tc>
          <w:tcPr>
            <w:tcW w:type="dxa" w:w="864"/>
            <w:vAlign w:val="top"/>
          </w:tcPr>
          <w:p>
            <w:r>
              <w:rPr>
                <w:sz w:val="16"/>
              </w:rPr>
              <w:t>02</w:t>
            </w:r>
          </w:p>
        </w:tc>
        <w:tc>
          <w:tcPr>
            <w:tcW w:type="dxa" w:w="3600"/>
            <w:vAlign w:val="top"/>
          </w:tcPr>
          <w:p>
            <w:r>
              <w:rPr>
                <w:sz w:val="16"/>
              </w:rPr>
              <w:t>02_Supplementary_Preprocessing_Geography_EDA.ipynb</w:t>
            </w:r>
          </w:p>
        </w:tc>
        <w:tc>
          <w:tcPr>
            <w:tcW w:type="dxa" w:w="5760"/>
            <w:vAlign w:val="top"/>
          </w:tcPr>
          <w:p>
            <w:r>
              <w:rPr>
                <w:sz w:val="16"/>
              </w:rPr>
              <w:t>Four supplementary features, geographic EDA, final 48-feature modeling table and schema.</w:t>
            </w:r>
          </w:p>
        </w:tc>
      </w:tr>
      <w:tr>
        <w:tc>
          <w:tcPr>
            <w:tcW w:type="dxa" w:w="864"/>
            <w:vAlign w:val="top"/>
          </w:tcPr>
          <w:p>
            <w:r>
              <w:rPr>
                <w:sz w:val="16"/>
              </w:rPr>
              <w:t>03</w:t>
            </w:r>
          </w:p>
        </w:tc>
        <w:tc>
          <w:tcPr>
            <w:tcW w:type="dxa" w:w="3600"/>
            <w:vAlign w:val="top"/>
          </w:tcPr>
          <w:p>
            <w:r>
              <w:rPr>
                <w:sz w:val="16"/>
              </w:rPr>
              <w:t>03_Model_Training_Evaluation.ipynb</w:t>
            </w:r>
          </w:p>
        </w:tc>
        <w:tc>
          <w:tcPr>
            <w:tcW w:type="dxa" w:w="5760"/>
            <w:vAlign w:val="top"/>
          </w:tcPr>
          <w:p>
            <w:r>
              <w:rPr>
                <w:sz w:val="16"/>
              </w:rPr>
              <w:t>Benchmarks, ablations, geographic holdout, SHAP, inspection prioritization, main submission.</w:t>
            </w:r>
          </w:p>
        </w:tc>
      </w:tr>
      <w:tr>
        <w:tc>
          <w:tcPr>
            <w:tcW w:type="dxa" w:w="864"/>
            <w:vAlign w:val="top"/>
          </w:tcPr>
          <w:p>
            <w:r>
              <w:rPr>
                <w:sz w:val="16"/>
              </w:rPr>
              <w:t>04</w:t>
            </w:r>
          </w:p>
        </w:tc>
        <w:tc>
          <w:tcPr>
            <w:tcW w:type="dxa" w:w="3600"/>
            <w:vAlign w:val="top"/>
          </w:tcPr>
          <w:p>
            <w:r>
              <w:rPr>
                <w:sz w:val="16"/>
              </w:rPr>
              <w:t>04_CatBoost_LightGBM_Tuning_Ensemble.ipynb</w:t>
            </w:r>
          </w:p>
        </w:tc>
        <w:tc>
          <w:tcPr>
            <w:tcW w:type="dxa" w:w="5760"/>
            <w:vAlign w:val="top"/>
          </w:tcPr>
          <w:p>
            <w:r>
              <w:rPr>
                <w:sz w:val="16"/>
              </w:rPr>
              <w:t>Leaderboard-focused LightGBM/CatBoost tuning, probability blend, final 0.7515 public model.</w:t>
            </w:r>
          </w:p>
        </w:tc>
      </w:tr>
    </w:tbl>
    <w:p>
      <w:r>
        <w:t>The official test data are isolated from model selection. Learned encoders and model transformations are fitted on training data before validation transformation, and the public test set is used only after architecture selection. building_id remains an identifier for alignment and submission and is excluded from model fitting.</w:t>
      </w:r>
    </w:p>
    <w:p>
      <w:pPr>
        <w:pStyle w:val="1"/>
      </w:pPr>
      <w:r>
        <w:t>22. Final Deliverables</w:t>
      </w:r>
    </w:p>
    <w:p>
      <w:pPr>
        <w:pStyle w:val="a0"/>
      </w:pPr>
      <w:r>
        <w:t>Preprocess &amp; EDA/01_Preprocessing_EDA.ipynb</w:t>
      </w:r>
    </w:p>
    <w:p>
      <w:pPr>
        <w:pStyle w:val="a0"/>
      </w:pPr>
      <w:r>
        <w:t>Preprocess &amp; EDA/02_Supplementary_Preprocessing_Geography_EDA.ipynb</w:t>
      </w:r>
    </w:p>
    <w:p>
      <w:pPr>
        <w:pStyle w:val="a0"/>
      </w:pPr>
      <w:r>
        <w:t>Modeling/03_Model_Training_Evaluation.ipynb</w:t>
      </w:r>
    </w:p>
    <w:p>
      <w:pPr>
        <w:pStyle w:val="a0"/>
      </w:pPr>
      <w:r>
        <w:t>Modeling/04_CatBoost_LightGBM_Tuning_Ensemble.ipynb</w:t>
      </w:r>
    </w:p>
    <w:p>
      <w:pPr>
        <w:pStyle w:val="a0"/>
      </w:pPr>
      <w:r>
        <w:t>Modeling/figures/ and Modeling/results/ for the course-project modeling stage</w:t>
      </w:r>
    </w:p>
    <w:p>
      <w:pPr>
        <w:pStyle w:val="a0"/>
      </w:pPr>
      <w:r>
        <w:t>Modeling/figures_04_tuning/ and Modeling/results_04_tuning/ for the leaderboard-optimization stage</w:t>
      </w:r>
    </w:p>
    <w:p>
      <w:pPr>
        <w:pStyle w:val="a0"/>
      </w:pPr>
      <w:r>
        <w:t>This complete technical report and the root project README</w:t>
      </w:r>
    </w:p>
    <w:sectPr w:rsidR="00BA1CF9" w:rsidSect="00034616">
      <w:headerReference w:type="default" r:id="rId24"/>
      <w:footerReference w:type="default" r:id="rId2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30FFB" w14:textId="77777777" w:rsidR="005440C1" w:rsidRDefault="005440C1">
      <w:pPr>
        <w:spacing w:after="0" w:line="240" w:lineRule="auto"/>
        <w:rPr>
          <w:rFonts w:hint="eastAsia"/>
        </w:rPr>
      </w:pPr>
      <w:r>
        <w:separator/>
      </w:r>
    </w:p>
  </w:endnote>
  <w:endnote w:type="continuationSeparator" w:id="0">
    <w:p w14:paraId="38E57660" w14:textId="77777777" w:rsidR="005440C1" w:rsidRDefault="005440C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2867" w14:textId="77777777" w:rsidR="00BA1CF9" w:rsidRDefault="00000000">
    <w:pPr>
      <w:pStyle w:val="a7"/>
      <w:jc w:val="center"/>
      <w:rPr>
        <w:rFonts w:hint="eastAsia"/>
      </w:rPr>
    </w:pPr>
    <w:r>
      <w:rPr>
        <w:color w:val="6E6E6E"/>
        <w:sz w:val="16"/>
      </w:rPr>
      <w:t xml:space="preserve">Page </w:t>
    </w:r>
    <w:r>
      <w:fldChar w:fldCharType="begin"/>
    </w:r>
    <w:r>
      <w:instrText>PAGE</w:instrText>
    </w:r>
    <w:r>
      <w:rPr>
        <w:rFonts w:hint="eastAsia"/>
      </w:rPr>
      <w:fldChar w:fldCharType="separate"/>
    </w:r>
    <w:r w:rsidR="00B72D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EFBE" w14:textId="77777777" w:rsidR="005440C1" w:rsidRDefault="005440C1">
      <w:pPr>
        <w:spacing w:after="0" w:line="240" w:lineRule="auto"/>
        <w:rPr>
          <w:rFonts w:hint="eastAsia"/>
        </w:rPr>
      </w:pPr>
      <w:r>
        <w:separator/>
      </w:r>
    </w:p>
  </w:footnote>
  <w:footnote w:type="continuationSeparator" w:id="0">
    <w:p w14:paraId="611B58BC" w14:textId="77777777" w:rsidR="005440C1" w:rsidRDefault="005440C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6F4B" w14:textId="77777777" w:rsidR="00BA1CF9" w:rsidRDefault="00000000">
    <w:pPr>
      <w:pStyle w:val="a5"/>
      <w:jc w:val="right"/>
      <w:rPr>
        <w:rFonts w:hint="eastAsia"/>
      </w:rPr>
    </w:pPr>
    <w:r>
      <w:t>Nepal Earthquake Damage Prediction | Complete Project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5844045">
    <w:abstractNumId w:val="8"/>
  </w:num>
  <w:num w:numId="2" w16cid:durableId="1164248496">
    <w:abstractNumId w:val="6"/>
  </w:num>
  <w:num w:numId="3" w16cid:durableId="200172354">
    <w:abstractNumId w:val="5"/>
  </w:num>
  <w:num w:numId="4" w16cid:durableId="1998724835">
    <w:abstractNumId w:val="4"/>
  </w:num>
  <w:num w:numId="5" w16cid:durableId="1315842375">
    <w:abstractNumId w:val="7"/>
  </w:num>
  <w:num w:numId="6" w16cid:durableId="1036857472">
    <w:abstractNumId w:val="3"/>
  </w:num>
  <w:num w:numId="7" w16cid:durableId="1909149664">
    <w:abstractNumId w:val="2"/>
  </w:num>
  <w:num w:numId="8" w16cid:durableId="826895870">
    <w:abstractNumId w:val="1"/>
  </w:num>
  <w:num w:numId="9" w16cid:durableId="117992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0C1"/>
    <w:rsid w:val="00AA1D8D"/>
    <w:rsid w:val="00B47730"/>
    <w:rsid w:val="00B72DBC"/>
    <w:rsid w:val="00BA1CF9"/>
    <w:rsid w:val="00CB0664"/>
    <w:rsid w:val="00F65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EC44F"/>
  <w14:defaultImageDpi w14:val="300"/>
  <w15:docId w15:val="{EECADD86-0074-43C9-A369-CA505702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984"/>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pPr>
    <w:rPr>
      <w:rFonts w:ascii="Aptos" w:hAnsi="Aptos"/>
      <w:i/>
      <w:color w:val="505050"/>
      <w:sz w:val="17"/>
    </w:rPr>
  </w:style>
  <w:style w:type="paragraph" w:customStyle="1" w:styleId="KeyFinding">
    <w:name w:val="Key Finding"/>
    <w:pPr>
      <w:spacing w:before="80" w:after="80"/>
    </w:pPr>
    <w:rPr>
      <w:rFonts w:ascii="Aptos" w:hAnsi="Aptos"/>
      <w:b/>
      <w:color w:val="1F4E7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3358</Words>
  <Characters>19143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Nepal Earthquake Damage Prediction - Complete Project Technical Report</dc:title>
  <dc:subject>Preprocessing, EDA, modeling, validation, explainability, and leaderboard optimization</dc:subject>
  <dc:creator>Project coding subgroup</dc:creator>
  <cp:keywords>Nepal earthquake, machine learning, LightGBM, CatBoost, DrivenData, EDA</cp:keywords>
  <dc:description>generated by python-docx</dc:description>
  <cp:lastModifiedBy>CHEN Weiqi</cp:lastModifiedBy>
  <cp:revision>2</cp:revision>
  <dcterms:created xsi:type="dcterms:W3CDTF">2013-12-23T23:15:00Z</dcterms:created>
  <dcterms:modified xsi:type="dcterms:W3CDTF">2026-10-13T06:18:00Z</dcterms:modified>
  <cp:category/>
</cp:coreProperties>
</file>