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当社は、愛知県一宮市で、塗装店を営んでいます。ウクライナ情勢や原油価格、ＬＰガス価格等の高騰により、影響を受けている点と状況は以下のとおりです。</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① 原材料原価：平均25%程度の値上げにより、年額300,000円程度の原価増加に伴い、利益を圧迫されております。</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② ガソリン代：当社は、車移動が基本であり、その移動に活用する自動車のガソリン代も高騰しており、経費を圧迫しております。この3ヶ月でも1リットルあたり三十円以上高騰しており、年間、30万円程度の経費増加が見込まれます。</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合計60万円程度の経費を圧迫されている状況です。自社としては経費の適切なコントロールと本事業による販路開拓による売上増加により、現状の厳しい状況を打破していきたいと考えています。そのため、本事業を確実に実行していきたいと考えています。</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当社の本事業計画が地域の課題解決や暮らしの実需に応えるサービスを提供する小規模事業者による、地域内の需要喚起を目的とした取組等を行う計画は以下のとおりです。</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当社は塗装店を経営している。塗装における業者と顧客のトラブルが増加しているという実情があります。そのような中、当社としては、本事業計画を通して、地域の塗装店選びの難しさとトラブル解決などの課題を解決することが、暮らしの実需に応えるサービスであり、地域内の需要喚起につながる取り組みであると考えています。そこで、当社では、見積もり・打ち合わせの前に、「オンライン」または「リアル」で説明会を開催し、安心して任せられる企業であることをユーザーに認識してもらった状態で受注するというスタイルの販路開拓方法を本事業計画で実践します。また同時に、クオリティによるクレーム防止のための、当社外注事業者を巻き込んだ研修を実施することにより、上記課題を解決したいと考えています。</w:t>
      </w:r>
    </w:p>
    <w:p w:rsidR="00000000" w:rsidDel="00000000" w:rsidP="00000000" w:rsidRDefault="00000000" w:rsidRPr="00000000" w14:paraId="0000000B">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