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5E"/>
          <w:sz w:val="48"/>
        </w:rPr>
        <w:t>Governed AI Development at Production Discipline</w:t>
      </w:r>
    </w:p>
    <w:p>
      <w:pPr>
        <w:jc w:val="center"/>
      </w:pPr>
      <w:r>
        <w:rPr>
          <w:i/>
          <w:sz w:val="26"/>
        </w:rPr>
        <w:t>How two non-engineers built a HIPAA-grade healthcare platform with Claude Code —</w:t>
        <w:br/>
        <w:t>and the correction methodology that made the AI reliable at enterprise scale</w:t>
      </w:r>
    </w:p>
    <w:p/>
    <w:p>
      <w:pPr>
        <w:jc w:val="center"/>
      </w:pPr>
      <w:r>
        <w:rPr>
          <w:sz w:val="22"/>
        </w:rPr>
        <w:t>Envision VirtualEdge Group LLC</w:t>
        <w:br/>
        <w:t>Envision ATLUS I.H.I.S. — Intelligent Healthcare Interoperability System</w:t>
        <w:br/>
        <w:t>Prepared for Anthropic · July 2026</w:t>
      </w:r>
    </w:p>
    <w:p/>
    <w:p>
      <w:pPr>
        <w:jc w:val="center"/>
      </w:pPr>
      <w:r>
        <w:rPr>
          <w:sz w:val="20"/>
        </w:rPr>
        <w:t>Maria LeBlanc, AI System Director · maria@thewellfitcommunity.org</w:t>
      </w:r>
    </w:p>
    <w:p>
      <w:r>
        <w:br w:type="page"/>
      </w:r>
    </w:p>
    <w:p>
      <w:pPr>
        <w:pStyle w:val="Heading1"/>
      </w:pPr>
      <w:r>
        <w:rPr>
          <w:color w:val="00665E"/>
        </w:rPr>
        <w:t>Executive Summary</w:t>
      </w:r>
    </w:p>
    <w:p>
      <w:r>
        <w:rPr>
          <w:b w:val="0"/>
          <w:i w:val="0"/>
        </w:rPr>
        <w:t>Over nine months, two non-engineers — a former school superintendent with a social and behavioral science background, and a registered nurse and certified case manager with 23+ years of clinical experience — built a production-discipline, multi-tenant, dual-product healthcare platform using Claude Code as the sole builder. Approximate total compute cost: $645. No engineering staff. No outside development hires.</w:t>
      </w:r>
    </w:p>
    <w:p>
      <w:r>
        <w:rPr>
          <w:b w:val="0"/>
          <w:i w:val="0"/>
        </w:rPr>
        <w:t>The platform is real and inspectable in git. But the artifact we believe is most valuable to Anthropic is the methodology we had to invent to make Claude produce reliable enterprise code: a written governance system — an empirically catalogued registry of the model's failure modes turned into enforceable rules, hard verification gates that block the AI's own commits, a tiered authority ladder for autonomous versus approval-required actions, cross-AI adversarial auditing, and a standing discipline of live-database verification over the model's self-report. It answers a question we do not see publicly documented: how does a non-engineer build enterprise software with Claude Code, reliably, at scale?</w:t>
      </w:r>
    </w:p>
    <w:p>
      <w:pPr>
        <w:pStyle w:val="Heading2"/>
      </w:pPr>
      <w:r>
        <w:rPr>
          <w:color w:val="1A1A1A"/>
        </w:rPr>
        <w:t>The ask — a 30-minute conversation, in whichever shape is most useful to Anthropic</w:t>
      </w:r>
    </w:p>
    <w:p>
      <w:pPr>
        <w:pStyle w:val="ListBullet"/>
      </w:pPr>
      <w:r>
        <w:rPr>
          <w:b/>
        </w:rPr>
        <w:t xml:space="preserve">1. Case study — </w:t>
      </w:r>
      <w:r>
        <w:t>we are a proof point with verifiable numbers, not a testimonial.</w:t>
      </w:r>
    </w:p>
    <w:p>
      <w:pPr>
        <w:pStyle w:val="ListBullet"/>
      </w:pPr>
      <w:r>
        <w:rPr>
          <w:b/>
        </w:rPr>
        <w:t xml:space="preserve">2. Methodology collaboration — </w:t>
      </w:r>
      <w:r>
        <w:t>the governance pattern is documented, reproducible, and domain-portable; it could inform Anthropic's guidance for enterprise and non-engineer users.</w:t>
      </w:r>
    </w:p>
    <w:p>
      <w:pPr>
        <w:pStyle w:val="ListBullet"/>
      </w:pPr>
      <w:r>
        <w:rPr>
          <w:b/>
        </w:rPr>
        <w:t xml:space="preserve">3. Extended credit partnership — </w:t>
      </w:r>
      <w:r>
        <w:t>we have shown what roughly $645 produces; we would like to show what $6,500 or $65,000 produces.</w:t>
      </w:r>
    </w:p>
    <w:p>
      <w:r>
        <w:rPr>
          <w:b w:val="0"/>
          <w:i/>
        </w:rPr>
        <w:t>No cash ask. An hour of the right team's attention.</w:t>
      </w:r>
    </w:p>
    <w:p>
      <w:r>
        <w:br w:type="page"/>
      </w:r>
    </w:p>
    <w:p>
      <w:pPr>
        <w:pStyle w:val="Heading1"/>
      </w:pPr>
      <w:r>
        <w:rPr>
          <w:color w:val="00665E"/>
        </w:rPr>
        <w:t>Verified Metrics</w:t>
      </w:r>
    </w:p>
    <w:p>
      <w:r>
        <w:rPr>
          <w:b w:val="0"/>
          <w:i w:val="0"/>
        </w:rPr>
        <w:t>Counts below are verifiable in the repository; each was current as of the date shown.</w:t>
      </w:r>
    </w:p>
    <w:tbl>
      <w:tblPr>
        <w:tblStyle w:val="LightGrid-Accent3"/>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 / as of</w:t>
            </w:r>
          </w:p>
        </w:tc>
      </w:tr>
      <w:tr>
        <w:tc>
          <w:tcPr>
            <w:tcW w:type="dxa" w:w="2880"/>
          </w:tcPr>
          <w:p>
            <w:r>
              <w:t>Database tables under row-level security</w:t>
            </w:r>
          </w:p>
        </w:tc>
        <w:tc>
          <w:tcPr>
            <w:tcW w:type="dxa" w:w="2880"/>
          </w:tcPr>
          <w:p>
            <w:r>
              <w:t>787</w:t>
            </w:r>
          </w:p>
        </w:tc>
        <w:tc>
          <w:tcPr>
            <w:tcW w:type="dxa" w:w="2880"/>
          </w:tcPr>
          <w:p>
            <w:r>
              <w:t>live snapshot, Jul 2026</w:t>
            </w:r>
          </w:p>
        </w:tc>
      </w:tr>
      <w:tr>
        <w:tc>
          <w:tcPr>
            <w:tcW w:type="dxa" w:w="2880"/>
          </w:tcPr>
          <w:p>
            <w:r>
              <w:t>Database functions</w:t>
            </w:r>
          </w:p>
        </w:tc>
        <w:tc>
          <w:tcPr>
            <w:tcW w:type="dxa" w:w="2880"/>
          </w:tcPr>
          <w:p>
            <w:r>
              <w:t>1,494</w:t>
            </w:r>
          </w:p>
        </w:tc>
        <w:tc>
          <w:tcPr>
            <w:tcW w:type="dxa" w:w="2880"/>
          </w:tcPr>
          <w:p>
            <w:r>
              <w:t>live snapshot, Jul 2026</w:t>
            </w:r>
          </w:p>
        </w:tc>
      </w:tr>
      <w:tr>
        <w:tc>
          <w:tcPr>
            <w:tcW w:type="dxa" w:w="2880"/>
          </w:tcPr>
          <w:p>
            <w:r>
              <w:t>Edge functions deployed (Deno)</w:t>
            </w:r>
          </w:p>
        </w:tc>
        <w:tc>
          <w:tcPr>
            <w:tcW w:type="dxa" w:w="2880"/>
          </w:tcPr>
          <w:p>
            <w:r>
              <w:t>176</w:t>
            </w:r>
          </w:p>
        </w:tc>
        <w:tc>
          <w:tcPr>
            <w:tcW w:type="dxa" w:w="2880"/>
          </w:tcPr>
          <w:p>
            <w:r>
              <w:t>supabase/functions/, Jul 2026</w:t>
            </w:r>
          </w:p>
        </w:tc>
      </w:tr>
      <w:tr>
        <w:tc>
          <w:tcPr>
            <w:tcW w:type="dxa" w:w="2880"/>
          </w:tcPr>
          <w:p>
            <w:r>
              <w:t>MCP servers built</w:t>
            </w:r>
          </w:p>
        </w:tc>
        <w:tc>
          <w:tcPr>
            <w:tcW w:type="dxa" w:w="2880"/>
          </w:tcPr>
          <w:p>
            <w:r>
              <w:t>17, under a 3-tier governance model</w:t>
            </w:r>
          </w:p>
        </w:tc>
        <w:tc>
          <w:tcPr>
            <w:tcW w:type="dxa" w:w="2880"/>
          </w:tcPr>
          <w:p>
            <w:r>
              <w:t>supabase/functions/mcp-*, Jul 2026</w:t>
            </w:r>
          </w:p>
        </w:tc>
      </w:tr>
      <w:tr>
        <w:tc>
          <w:tcPr>
            <w:tcW w:type="dxa" w:w="2880"/>
          </w:tcPr>
          <w:p>
            <w:r>
              <w:t>Registered clinical AI skills</w:t>
            </w:r>
          </w:p>
        </w:tc>
        <w:tc>
          <w:tcPr>
            <w:tcW w:type="dxa" w:w="2880"/>
          </w:tcPr>
          <w:p>
            <w:r>
              <w:t>28, every one pinned to an explicit model version</w:t>
            </w:r>
          </w:p>
        </w:tc>
        <w:tc>
          <w:tcPr>
            <w:tcW w:type="dxa" w:w="2880"/>
          </w:tcPr>
          <w:p>
            <w:r>
              <w:t>ai_skills registry, Jul 2026</w:t>
            </w:r>
          </w:p>
        </w:tc>
      </w:tr>
      <w:tr>
        <w:tc>
          <w:tcPr>
            <w:tcW w:type="dxa" w:w="2880"/>
          </w:tcPr>
          <w:p>
            <w:r>
              <w:t>Applied migrations</w:t>
            </w:r>
          </w:p>
        </w:tc>
        <w:tc>
          <w:tcPr>
            <w:tcW w:type="dxa" w:w="2880"/>
          </w:tcPr>
          <w:p>
            <w:r>
              <w:t>609</w:t>
            </w:r>
          </w:p>
        </w:tc>
        <w:tc>
          <w:tcPr>
            <w:tcW w:type="dxa" w:w="2880"/>
          </w:tcPr>
          <w:p>
            <w:r>
              <w:t>supabase/migrations/, Jul 2026</w:t>
            </w:r>
          </w:p>
        </w:tc>
      </w:tr>
      <w:tr>
        <w:tc>
          <w:tcPr>
            <w:tcW w:type="dxa" w:w="2880"/>
          </w:tcPr>
          <w:p>
            <w:r>
              <w:t>Tests</w:t>
            </w:r>
          </w:p>
        </w:tc>
        <w:tc>
          <w:tcPr>
            <w:tcW w:type="dxa" w:w="2880"/>
          </w:tcPr>
          <w:p>
            <w:r>
              <w:t>11,726 across 583 suites — 100% passing, 0 skipped</w:t>
            </w:r>
          </w:p>
        </w:tc>
        <w:tc>
          <w:tcPr>
            <w:tcW w:type="dxa" w:w="2880"/>
          </w:tcPr>
          <w:p>
            <w:r>
              <w:t>verified Apr 2026 baseline; 100%-pass policy enforced</w:t>
            </w:r>
          </w:p>
        </w:tc>
      </w:tr>
      <w:tr>
        <w:tc>
          <w:tcPr>
            <w:tcW w:type="dxa" w:w="2880"/>
          </w:tcPr>
          <w:p>
            <w:r>
              <w:t>Lint warnings</w:t>
            </w:r>
          </w:p>
        </w:tc>
        <w:tc>
          <w:tcPr>
            <w:tcW w:type="dxa" w:w="2880"/>
          </w:tcPr>
          <w:p>
            <w:r>
              <w:t>0 (down from 1,671 in Jan 2026)</w:t>
            </w:r>
          </w:p>
        </w:tc>
        <w:tc>
          <w:tcPr>
            <w:tcW w:type="dxa" w:w="2880"/>
          </w:tcPr>
          <w:p>
            <w:r>
              <w:t>npm run lint</w:t>
            </w:r>
          </w:p>
        </w:tc>
      </w:tr>
      <w:tr>
        <w:tc>
          <w:tcPr>
            <w:tcW w:type="dxa" w:w="2880"/>
          </w:tcPr>
          <w:p>
            <w:r>
              <w:t>TypeScript any violations</w:t>
            </w:r>
          </w:p>
        </w:tc>
        <w:tc>
          <w:tcPr>
            <w:tcW w:type="dxa" w:w="2880"/>
          </w:tcPr>
          <w:p>
            <w:r>
              <w:t>0 (down from 1,400+)</w:t>
            </w:r>
          </w:p>
        </w:tc>
        <w:tc>
          <w:tcPr>
            <w:tcW w:type="dxa" w:w="2880"/>
          </w:tcPr>
          <w:p>
            <w:r>
              <w:t>typecheck gates</w:t>
            </w:r>
          </w:p>
        </w:tc>
      </w:tr>
      <w:tr>
        <w:tc>
          <w:tcPr>
            <w:tcW w:type="dxa" w:w="2880"/>
          </w:tcPr>
          <w:p>
            <w:r>
              <w:t>ONC 170.315 certification criteria</w:t>
            </w:r>
          </w:p>
        </w:tc>
        <w:tc>
          <w:tcPr>
            <w:tcW w:type="dxa" w:w="2880"/>
          </w:tcPr>
          <w:p>
            <w:r>
              <w:t>27 of ~40 certification-ready</w:t>
            </w:r>
          </w:p>
        </w:tc>
        <w:tc>
          <w:tcPr>
            <w:tcW w:type="dxa" w:w="2880"/>
          </w:tcPr>
          <w:p>
            <w:r>
              <w:t>Apr 2026 assessment</w:t>
            </w:r>
          </w:p>
        </w:tc>
      </w:tr>
      <w:tr>
        <w:tc>
          <w:tcPr>
            <w:tcW w:type="dxa" w:w="2880"/>
          </w:tcPr>
          <w:p>
            <w:r>
              <w:t>CI security workflows</w:t>
            </w:r>
          </w:p>
        </w:tc>
        <w:tc>
          <w:tcPr>
            <w:tcW w:type="dxa" w:w="2880"/>
          </w:tcPr>
          <w:p>
            <w:r>
              <w:t>5 — all green, verified job-level</w:t>
            </w:r>
          </w:p>
        </w:tc>
        <w:tc>
          <w:tcPr>
            <w:tcW w:type="dxa" w:w="2880"/>
          </w:tcPr>
          <w:p>
            <w:r>
              <w:t>Security Scan, CodeQL, secret scan, dependency audit, governance gates</w:t>
            </w:r>
          </w:p>
        </w:tc>
      </w:tr>
    </w:tbl>
    <w:p/>
    <w:p>
      <w:pPr>
        <w:pStyle w:val="Heading2"/>
      </w:pPr>
      <w:r>
        <w:rPr>
          <w:color w:val="1A1A1A"/>
        </w:rPr>
        <w:t>What was built</w:t>
      </w:r>
    </w:p>
    <w:p>
      <w:r>
        <w:rPr>
          <w:b w:val="0"/>
          <w:i w:val="0"/>
        </w:rPr>
        <w:t>Two white-label products on one shared spine, deployable together or separately: WellFit Community Daily (senior and community engagement — daily check-ins with vitals, caregiver PIN access, gamification, voice commands) and the Envision Atlus clinical engine (bed management, EMS-to-ER handoff with automatic department dispatch, hospital-to-hospital transfer with encrypted handoff packets, shift handoff, FHIR R4 / HL7 / X12 interoperability, claims and billing infrastructure, AI readmission-risk prediction). Security posture: tenant isolation via RLS throughout, dual-key fail-closed PHI encryption with separate key stores per product, immutable HIPAA §164.312(b) audit logging, JWT + role + tenant checks on every edge function, no CORS wildcards, Supabase BAA signed.</w:t>
      </w:r>
    </w:p>
    <w:p>
      <w:r>
        <w:br w:type="page"/>
      </w:r>
    </w:p>
    <w:p>
      <w:pPr>
        <w:pStyle w:val="Heading1"/>
      </w:pPr>
      <w:r>
        <w:rPr>
          <w:color w:val="00665E"/>
        </w:rPr>
        <w:t>The Methodology: Governance Documents Replace Prompt Engineering</w:t>
      </w:r>
    </w:p>
    <w:p>
      <w:r>
        <w:rPr>
          <w:b w:val="0"/>
          <w:i w:val="0"/>
        </w:rPr>
        <w:t>The central discovery: prompting is not the durable skill — governance is. A prompt influences one response. A governance document is a standing control system the AI re-reads every session, catching the same failure classes every time, on any model, from any vendor. The methodology is deliberately tool-agnostic; it was developed on Claude and documents nine months of Claude's real behavior under production constraints.</w:t>
      </w:r>
    </w:p>
    <w:p>
      <w:pPr>
        <w:pStyle w:val="ListBullet"/>
      </w:pPr>
      <w:r>
        <w:rPr>
          <w:b/>
        </w:rPr>
        <w:t xml:space="preserve">CLAUDE.md — </w:t>
      </w:r>
      <w:r>
        <w:t>a constitution of 22 numbered rules distilled from real incidents — each exists because the AI actually made that mistake, dated and documented. Examples: "Verify live database state, don't trust the repo" (the AI writes code against schemas it imagines), "Done means done" (the AI declares victory when tests pass on mocks while the real workflow fails for a real user), "No fabricated metrics" (the AI defaults empty dashboards to reassuring values like 100% compliance).</w:t>
      </w:r>
    </w:p>
    <w:p>
      <w:pPr>
        <w:pStyle w:val="ListBullet"/>
      </w:pPr>
      <w:r>
        <w:rPr>
          <w:b/>
        </w:rPr>
        <w:t xml:space="preserve">The AI-failure-mode registry — </w:t>
      </w:r>
      <w:r>
        <w:t>the model's observed failure patterns, each paired with its countermeasure — maintained like an engineering team's postmortem archive, and enforced by session protocol and tooling hooks.</w:t>
      </w:r>
    </w:p>
    <w:p>
      <w:pPr>
        <w:pStyle w:val="ListBullet"/>
      </w:pPr>
      <w:r>
        <w:rPr>
          <w:b/>
        </w:rPr>
        <w:t xml:space="preserve">A four-tier authority ladder — </w:t>
      </w:r>
      <w:r>
        <w:t>autonomous / notify / ask-first / forbidden. What any agent may change without a human is written down and enforced; the forbidden tier (disabling RLS, CORS wildcards, deleting migrations, exposing PHI to the browser) is unconditional.</w:t>
      </w:r>
    </w:p>
    <w:p>
      <w:pPr>
        <w:pStyle w:val="ListBullet"/>
      </w:pPr>
      <w:r>
        <w:rPr>
          <w:b/>
        </w:rPr>
        <w:t xml:space="preserve">Session-ready trackers — </w:t>
      </w:r>
      <w:r>
        <w:t>every unit of work is specified so a fresh AI session — or a different vendor's model — can execute it without questions: exact paths, live-verified schemas, acceptance criteria, regression checks.</w:t>
      </w:r>
    </w:p>
    <w:p>
      <w:pPr>
        <w:pStyle w:val="ListBullet"/>
      </w:pPr>
      <w:r>
        <w:rPr>
          <w:b/>
        </w:rPr>
        <w:t xml:space="preserve">Hard verification gates — </w:t>
      </w:r>
      <w:r>
        <w:t>scoped typechecks, lint, tests, secret scanning, CodeQL, a schema-drift gate diffing code against a snapshot of the live production database, and pre-commit governance hooks. These gates have blocked the AI's own commits — by design.</w:t>
      </w:r>
    </w:p>
    <w:p>
      <w:pPr>
        <w:pStyle w:val="ListBullet"/>
      </w:pPr>
      <w:r>
        <w:rPr>
          <w:b/>
        </w:rPr>
        <w:t xml:space="preserve">Cross-AI adversarial audit — </w:t>
      </w:r>
      <w:r>
        <w:t>the repository is periodically submitted to a rival model for audit ("Claude built this — find what's wrong"), exploiting cross-vendor rivalry to defeat the self-grading bias every model shows toward its own work. Claude then fixes the findings.</w:t>
      </w:r>
    </w:p>
    <w:p>
      <w:pPr>
        <w:pStyle w:val="ListBullet"/>
      </w:pPr>
      <w:r>
        <w:rPr>
          <w:b/>
        </w:rPr>
        <w:t xml:space="preserve">Live verification over self-report — </w:t>
      </w:r>
      <w:r>
        <w:t>no work is accepted on the AI's say-so. Acceptance requires evidence against the live system: a database round-trip, a rolled-back production probe, a screenshot, a job-level-verified green CI run.</w:t>
      </w:r>
    </w:p>
    <w:p>
      <w:r>
        <w:br w:type="page"/>
      </w:r>
    </w:p>
    <w:p>
      <w:pPr>
        <w:pStyle w:val="Heading1"/>
      </w:pPr>
      <w:r>
        <w:rPr>
          <w:color w:val="00665E"/>
        </w:rPr>
        <w:t>Case Study: One Week in July 2026</w:t>
      </w:r>
    </w:p>
    <w:p>
      <w:r>
        <w:rPr>
          <w:b w:val="0"/>
          <w:i w:val="0"/>
        </w:rPr>
        <w:t>The week of July 22, 2026 demonstrates the full loop end-to-end. Every claim below is preserved in commit history, migration files, and session logs.</w:t>
      </w:r>
    </w:p>
    <w:p>
      <w:pPr>
        <w:pStyle w:val="Heading2"/>
      </w:pPr>
      <w:r>
        <w:rPr>
          <w:color w:val="1A1A1A"/>
        </w:rPr>
        <w:t>From question to executable specification</w:t>
      </w:r>
    </w:p>
    <w:p>
      <w:r>
        <w:rPr>
          <w:b w:val="0"/>
          <w:i w:val="0"/>
        </w:rPr>
        <w:t>The operator asked the AI to assess two clinical features — EMS-to-hospital handoff and hospital-to-hospital transfer. The AI's live-verified audit found both chart-integration paths had been dead on arrival since they were written: code generated months earlier against an imagined schema had never once executed in production, while its mock-based tests stayed green. The operator directed a repair tracker "airtight enough that another model could build from it," then authorized repair with four decisions delegated to the AI's judgment.</w:t>
      </w:r>
    </w:p>
    <w:p>
      <w:pPr>
        <w:pStyle w:val="Heading2"/>
      </w:pPr>
      <w:r>
        <w:rPr>
          <w:color w:val="1A1A1A"/>
        </w:rPr>
        <w:t>Repair under governance</w:t>
      </w:r>
    </w:p>
    <w:p>
      <w:r>
        <w:rPr>
          <w:b w:val="0"/>
          <w:i w:val="0"/>
        </w:rPr>
        <w:t>Nine migrations and two new service-role edge functions later, both flows worked. The decisive findings were invisible to static analysis and surfaced only by the governance rule "verify against the live database": a database trigger referencing a table that did not exist — meaning every ambulance handoff carrying a stroke, STEMI, or trauma alert had been rejected at the moment of submission — and row-level-security policies that silently blocked every clinician from ever creating a transfer packet. The full packet lifecycle (encrypt → create → send → acknowledge → decrypt → chart integration) was then proven as a real authenticated role in a rolled-back probe against production, leaving zero residue.</w:t>
      </w:r>
    </w:p>
    <w:p>
      <w:pPr>
        <w:pStyle w:val="Heading2"/>
      </w:pPr>
      <w:r>
        <w:rPr>
          <w:color w:val="1A1A1A"/>
        </w:rPr>
        <w:t>The operator as AI corrections officer</w:t>
      </w:r>
    </w:p>
    <w:p>
      <w:r>
        <w:rPr>
          <w:b w:val="0"/>
          <w:i w:val="0"/>
        </w:rPr>
        <w:t>The operator then walked the deployed application and pasted raw browser console output — no interpretation, just evidence. Each paste was triaged live-database-first. Finds included a dashboard crash caused by a fabricated "100% compliance" metric rendered over zero data; five tables whose security policies existed but whose access grants were never issued; and a compliance feature whose configuration saves had silently failed since the day it was built. When the AI deferred one large repair as "a session of its own," the operator pushed back in one sentence — and the fifteen-site sweep was completed the same session.</w:t>
      </w:r>
    </w:p>
    <w:p>
      <w:pPr>
        <w:pStyle w:val="Heading2"/>
      </w:pPr>
      <w:r>
        <w:rPr>
          <w:color w:val="1A1A1A"/>
        </w:rPr>
        <w:t>The gates catch the AI</w:t>
      </w:r>
    </w:p>
    <w:p>
      <w:r>
        <w:rPr>
          <w:b w:val="0"/>
          <w:i w:val="0"/>
        </w:rPr>
        <w:t>The same week, the repository's security gates went red: newly published CVEs against existing dependencies, and — separately — type errors and stale tests the AI itself had introduced and misattributed. The operator did not debug. She held the gate. The AI cleared the dependency findings to zero critical / zero high, repaired its own breakage, recorded two new countermeasures into the governance archive, and produced job-level-verified green runs across all five CI workflows. The lessons are now permanent rules every future session inherits.</w:t>
      </w:r>
    </w:p>
    <w:p>
      <w:pPr>
        <w:pStyle w:val="Heading2"/>
      </w:pPr>
      <w:r>
        <w:rPr>
          <w:color w:val="1A1A1A"/>
        </w:rPr>
        <w:t>What this demonstrates</w:t>
      </w:r>
    </w:p>
    <w:p>
      <w:pPr>
        <w:pStyle w:val="ListBullet"/>
      </w:pPr>
      <w:r>
        <w:t>A non-engineer directing production-grade repair of clinical software by evidence and refusal — not by code.</w:t>
      </w:r>
    </w:p>
    <w:p>
      <w:pPr>
        <w:pStyle w:val="ListBullet"/>
      </w:pPr>
      <w:r>
        <w:t>Governance catching failure classes the model does not catch in itself: imagined schemas, fabricated metrics, self-graded verification.</w:t>
      </w:r>
    </w:p>
    <w:p>
      <w:pPr>
        <w:pStyle w:val="ListBullet"/>
      </w:pPr>
      <w:r>
        <w:t>A correction loop that converts every failure into a durable, dated countermeasure — the system gets harder to break with each incident.</w:t>
      </w:r>
    </w:p>
    <w:p>
      <w:r>
        <w:br w:type="page"/>
      </w:r>
    </w:p>
    <w:p>
      <w:pPr>
        <w:pStyle w:val="Heading1"/>
      </w:pPr>
      <w:r>
        <w:rPr>
          <w:color w:val="00665E"/>
        </w:rPr>
        <w:t>Protocol-Level Governance Inside MCP</w:t>
      </w:r>
    </w:p>
    <w:p>
      <w:r>
        <w:rPr>
          <w:b w:val="0"/>
          <w:i w:val="0"/>
        </w:rPr>
        <w:t>Beyond document-level governance, we moved governance into the Model Context Protocol layer itself — where the model cannot talk its way around it. We believe these patterns are novel, generalizable, and directly relevant to Anthropic's agent-safety and MCP work:</w:t>
      </w:r>
    </w:p>
    <w:p>
      <w:pPr>
        <w:pStyle w:val="ListBullet"/>
      </w:pPr>
      <w:r>
        <w:rPr>
          <w:b/>
        </w:rPr>
        <w:t xml:space="preserve">Tiered server authority. </w:t>
      </w:r>
      <w:r>
        <w:t>every server is classified — external-API-only, user-scoped (operating under the caller's row-level security, so the protocol layer can never exceed the user's data rights), or admin — and the tier is enforced in the server, not left to model behavior.</w:t>
      </w:r>
    </w:p>
    <w:p>
      <w:pPr>
        <w:pStyle w:val="ListBullet"/>
      </w:pPr>
      <w:r>
        <w:rPr>
          <w:b/>
        </w:rPr>
        <w:t xml:space="preserve">Whitelisted capability surfaces. </w:t>
      </w:r>
      <w:r>
        <w:t>the database MCP server exposes only named, pre-approved queries under RLS. The model can request data through the protocol but cannot compose raw SQL against protected health information.</w:t>
      </w:r>
    </w:p>
    <w:p>
      <w:pPr>
        <w:pStyle w:val="ListBullet"/>
      </w:pPr>
      <w:r>
        <w:rPr>
          <w:b/>
        </w:rPr>
        <w:t xml:space="preserve">Accountability in the protocol. </w:t>
      </w:r>
      <w:r>
        <w:t>every call is audit-logged with cost tracking; clinical outputs carry model version, confidence, and a plain-language patient description, in line with HTI-2 algorithm-transparency expectations.</w:t>
      </w:r>
    </w:p>
    <w:p>
      <w:pPr>
        <w:pStyle w:val="ListBullet"/>
      </w:pPr>
      <w:r>
        <w:rPr>
          <w:b/>
        </w:rPr>
        <w:t xml:space="preserve">Agent authority enforced below the prompt. </w:t>
      </w:r>
      <w:r>
        <w:t>agents (including autonomous monitoring agents) operate under the same four-tier authority ladder, with the forbidden tier enforced in tooling.</w:t>
      </w:r>
    </w:p>
    <w:p>
      <w:r>
        <w:br w:type="page"/>
      </w:r>
    </w:p>
    <w:p>
      <w:pPr>
        <w:pStyle w:val="Heading1"/>
      </w:pPr>
      <w:r>
        <w:rPr>
          <w:color w:val="00665E"/>
        </w:rPr>
        <w:t>The Team</w:t>
      </w:r>
    </w:p>
    <w:p>
      <w:pPr>
        <w:pStyle w:val="ListBullet"/>
      </w:pPr>
      <w:r>
        <w:rPr>
          <w:b/>
        </w:rPr>
        <w:t xml:space="preserve">Maria LeBlanc — </w:t>
      </w:r>
      <w:r>
        <w:t>AI System Director. Social and behavioral science degree, former school superintendent, assistant pastor. Does not write code. Author of the governance methodology; operator of every session that built the platform.</w:t>
      </w:r>
    </w:p>
    <w:p>
      <w:pPr>
        <w:pStyle w:val="ListBullet"/>
      </w:pPr>
      <w:r>
        <w:rPr>
          <w:b/>
        </w:rPr>
        <w:t xml:space="preserve">Akima — </w:t>
      </w:r>
      <w:r>
        <w:t>Chief Compliance &amp; Accountability Officer. MDiv, BSN, RN, CCM; 23+ years of nursing and case management. Clinical and compliance review of every clinical-facing capability.</w:t>
      </w:r>
    </w:p>
    <w:p>
      <w:r>
        <w:rPr>
          <w:b w:val="0"/>
          <w:i w:val="0"/>
        </w:rPr>
        <w:t>Mission: technology for the people enterprise software forgets — seniors, community health workers, FQHCs, and faith-based organizations — at a cost structure those organizations can afford. The platform is pre-pilot; open items are tracked inside the repository with live-verified evidence and acceptance criteria. We consider the visible defect ledger part of the proof: the differentiator is not the absence of defects but the presence of a correction system that finds and retires them.</w:t>
      </w:r>
    </w:p>
    <w:p>
      <w:pPr>
        <w:pStyle w:val="Heading1"/>
      </w:pPr>
      <w:r>
        <w:rPr>
          <w:color w:val="00665E"/>
        </w:rPr>
        <w:t>Appendix: The Evidence, Inspectable on Request</w:t>
      </w:r>
    </w:p>
    <w:p>
      <w:pPr>
        <w:pStyle w:val="ListBullet"/>
      </w:pPr>
      <w:r>
        <w:t>CLAUDE.md and the .claude/rules/ governance corpus — TypeScript standards, Supabase/RLS rules, behavioral-health rules stricter than HIPAA, adversarial-audit lessons, the agent authority ladder.</w:t>
      </w:r>
    </w:p>
    <w:p>
      <w:pPr>
        <w:pStyle w:val="ListBullet"/>
      </w:pPr>
      <w:r>
        <w:t>The dated incident → countermeasure archive, and PROJECT_STATE.md — the longitudinal session-by-session record across ten major sessions.</w:t>
      </w:r>
    </w:p>
    <w:p>
      <w:pPr>
        <w:pStyle w:val="ListBullet"/>
      </w:pPr>
      <w:r>
        <w:t>The July 2026 transfer-repair tracker: live-verified findings, decision queue, execution logs, rolled-back production probes.</w:t>
      </w:r>
    </w:p>
    <w:p>
      <w:pPr>
        <w:pStyle w:val="ListBullet"/>
      </w:pPr>
      <w:r>
        <w:t>CI configuration and the runs in which gates blocked AI-generated commits.</w:t>
      </w:r>
    </w:p>
    <w:p>
      <w:pPr>
        <w:pStyle w:val="ListBullet"/>
      </w:pPr>
      <w:r>
        <w:t>The MCP fleet and its governance-tier table, including the whitelisted-query database server.</w:t>
      </w:r>
    </w:p>
    <w:p>
      <w:pPr>
        <w:pStyle w:val="ListBullet"/>
      </w:pPr>
      <w:r>
        <w:t>Cross-AI adversarial audit reports and the fixes they produced.</w:t>
      </w:r>
    </w:p>
    <w:p>
      <w:pPr>
        <w:pStyle w:val="ListBullet"/>
      </w:pPr>
      <w:r>
        <w:t>A live walkthrough of the codebase and a live session of the methodology operating, on request.</w:t>
      </w:r>
    </w:p>
    <w:p/>
    <w:p>
      <w:r>
        <w:rPr>
          <w:b/>
        </w:rPr>
        <w:t>Contact: Maria LeBlanc · maria@thewellfitcommunity.org</w:t>
      </w:r>
    </w:p>
    <w:p>
      <w:r>
        <w:rPr>
          <w:b w:val="0"/>
          <w:i/>
          <w:sz w:val="18"/>
        </w:rPr>
        <w:t>Copyright © 2026 Envision VirtualEdge Group LLC. Proprietary. Shared with Anthropic for partnership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