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nvision-atlus-i.h.i.s.-product-overview"/>
      <w:r>
        <w:t xml:space="preserve">Envision ATLUS I.H.I.S. — Product Overview</w:t>
      </w:r>
      <w:bookmarkEnd w:id="20"/>
    </w:p>
    <w:p>
      <w:pPr>
        <w:pStyle w:val="BlockText"/>
      </w:pPr>
      <w:r>
        <w:rPr>
          <w:b/>
        </w:rPr>
        <w:t xml:space="preserve">Intelligent Healthcare Interoperability System</w:t>
      </w:r>
      <w:r>
        <w:t xml:space="preserve"> </w:t>
      </w:r>
      <w:r>
        <w:rPr>
          <w:b/>
        </w:rPr>
        <w:t xml:space="preserve">Envision Virtual Edge Group LLC</w:t>
      </w:r>
      <w:r>
        <w:t xml:space="preserve"> </w:t>
      </w:r>
      <w:r>
        <w:t xml:space="preserve">| Copyright (c) 2025-2026. All rights reserved.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rPr>
          <w:b/>
        </w:rPr>
        <w:t xml:space="preserve">Envision ATLUS connects patients, families, and clinicians on a single platform — reducing readmissions, automating billing, and giving every stakeholder the information they need, when they need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utcomes"/>
      <w:r>
        <w:t xml:space="preserve">Outcomes</w:t>
      </w:r>
      <w:bookmarkEnd w:id="22"/>
    </w:p>
    <w:tbl>
      <w:tblPr>
        <w:tblStyle w:val="Table"/>
        <w:tblW w:type="pct" w:w="5000.0"/>
        <w:tblLook w:firstRow="1"/>
      </w:tblPr>
      <w:tblGrid>
        <w:gridCol w:w="2545"/>
        <w:gridCol w:w="537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ATLUS Solves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Patients can’t access their own records</w:t>
            </w:r>
          </w:p>
        </w:tc>
        <w:tc>
          <w:p>
            <w:pPr>
              <w:pStyle w:val="Compact"/>
              <w:jc w:val="left"/>
            </w:pPr>
            <w:r>
              <w:t xml:space="preserve">My Health Hub gives patients electronic access to meds, labs, conditions, immunizations, and care plans — 21st Century Cures Act compliant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Readmissions cost hospitals millions in CMS penalties</w:t>
            </w:r>
          </w:p>
        </w:tc>
        <w:tc>
          <w:p>
            <w:pPr>
              <w:pStyle w:val="Compact"/>
              <w:jc w:val="left"/>
            </w:pPr>
            <w:r>
              <w:t xml:space="preserve">AI readmission risk prediction (30/7/90-day + 1-year) with automated care escalation and discharge follow-up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Families are left in the dark</w:t>
            </w:r>
          </w:p>
        </w:tc>
        <w:tc>
          <w:p>
            <w:pPr>
              <w:pStyle w:val="Compact"/>
              <w:jc w:val="left"/>
            </w:pPr>
            <w:r>
              <w:t xml:space="preserve">Caregiver PIN access, automated family briefings, and real-time check-in visibility — no phone tag with the nurse’s station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Billing revenue leaks through coding gaps</w:t>
            </w:r>
          </w:p>
        </w:tc>
        <w:tc>
          <w:p>
            <w:pPr>
              <w:pStyle w:val="Compact"/>
              <w:jc w:val="left"/>
            </w:pPr>
            <w:r>
              <w:t xml:space="preserve">18-section revenue cycle: AI billing code suggestions, undercoding detection, HCC opportunity flags, CCM auto-tracking, and claims appeal 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Seniors disengage between visits</w:t>
            </w:r>
          </w:p>
        </w:tc>
        <w:tc>
          <w:p>
            <w:pPr>
              <w:pStyle w:val="Compact"/>
              <w:jc w:val="left"/>
            </w:pPr>
            <w:r>
              <w:t xml:space="preserve">Daily check-ins with mood, vitals, and symptom tracking — AI detects when engagement drops and escalates before a crisis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Clinical data is siloed across systems</w:t>
            </w:r>
          </w:p>
        </w:tc>
        <w:tc>
          <w:p>
            <w:pPr>
              <w:pStyle w:val="Compact"/>
              <w:jc w:val="left"/>
            </w:pPr>
            <w:r>
              <w:t xml:space="preserve">FHIR R4, HL7 v2.x, X12 EDI, C-CDA, and SMART on FHIR — connects to any EHR, clearinghouse, or state registry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Staff burnout from documentation burden</w:t>
            </w:r>
          </w:p>
        </w:tc>
        <w:tc>
          <w:p>
            <w:pPr>
              <w:pStyle w:val="Compact"/>
              <w:jc w:val="left"/>
            </w:pPr>
            <w:r>
              <w:t xml:space="preserve">70+ AI skills: SOAP notes, discharge summaries, care plans, shift handoffs, referral letters — generated in seconds, reviewed by clinicians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visibility into bed capacity</w:t>
            </w:r>
          </w:p>
        </w:tc>
        <w:tc>
          <w:p>
            <w:pPr>
              <w:pStyle w:val="Compact"/>
              <w:jc w:val="left"/>
            </w:pPr>
            <w:r>
              <w:t xml:space="preserve">Real-time bed board with AI-optimized allocation, capacity forecasting, and ED boarder tracking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by-the-numbers"/>
      <w:r>
        <w:t xml:space="preserve">By the Numbers</w:t>
      </w:r>
      <w:bookmarkEnd w:id="23"/>
    </w:p>
    <w:tbl>
      <w:tblPr>
        <w:tblStyle w:val="Table"/>
        <w:tblW w:type="pct" w:w="5000.0"/>
        <w:tblLook w:firstRow="1"/>
      </w:tblPr>
      <w:tblGrid>
        <w:gridCol w:w="4224"/>
        <w:gridCol w:w="36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User-facing routes</w:t>
            </w:r>
          </w:p>
        </w:tc>
        <w:tc>
          <w:p>
            <w:pPr>
              <w:pStyle w:val="Compact"/>
              <w:jc w:val="left"/>
            </w:pPr>
            <w:r>
              <w:t xml:space="preserve">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panel sections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AI-powered skills</w:t>
            </w:r>
          </w:p>
        </w:tc>
        <w:tc>
          <w:p>
            <w:pPr>
              <w:pStyle w:val="Compact"/>
              <w:jc w:val="left"/>
            </w:pPr>
            <w:r>
              <w:t xml:space="preserve">70+ (Claude Sonnet + Haiku, with intelligent model routing)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specialty modules</w:t>
            </w:r>
          </w:p>
        </w:tc>
        <w:tc>
          <w:p>
            <w:pPr>
              <w:pStyle w:val="Compact"/>
              <w:jc w:val="left"/>
            </w:pPr>
            <w:r>
              <w:t xml:space="preserve">8 (L&amp;D, Dental, Neuro, PT, Mental Health, Cardiology, Oncology, EMS)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Interoperability standards</w:t>
            </w:r>
          </w:p>
        </w:tc>
        <w:tc>
          <w:p>
            <w:pPr>
              <w:pStyle w:val="Compact"/>
              <w:jc w:val="left"/>
            </w:pPr>
            <w:r>
              <w:t xml:space="preserve">9 (FHIR R4, HL7 v2.x, X12 837/835/270/271/278, C-CDA, SMART on FHIR, USCDI)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integration servers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tables</w:t>
            </w:r>
          </w:p>
        </w:tc>
        <w:tc>
          <w:p>
            <w:pPr>
              <w:pStyle w:val="Compact"/>
              <w:jc w:val="left"/>
            </w:pPr>
            <w:r>
              <w:t xml:space="preserve">248+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edge functions</w:t>
            </w:r>
          </w:p>
        </w:tc>
        <w:tc>
          <w:p>
            <w:pPr>
              <w:pStyle w:val="Compact"/>
              <w:jc w:val="left"/>
            </w:pPr>
            <w:r>
              <w:t xml:space="preserve">144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Automated tests</w:t>
            </w:r>
          </w:p>
        </w:tc>
        <w:tc>
          <w:p>
            <w:pPr>
              <w:pStyle w:val="Compact"/>
              <w:jc w:val="left"/>
            </w:pPr>
            <w:r>
              <w:t xml:space="preserve">8,415 behavioral tests across 429 suites — 100% pass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methods</w:t>
            </w:r>
          </w:p>
        </w:tc>
        <w:tc>
          <w:p>
            <w:pPr>
              <w:pStyle w:val="Compact"/>
              <w:jc w:val="left"/>
            </w:pPr>
            <w:r>
              <w:t xml:space="preserve">6 (password, passkey/WebAuthn, TOTP 2FA, admin PIN, caregiver PIN, hCaptcha)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Compliance coverage</w:t>
            </w:r>
          </w:p>
        </w:tc>
        <w:tc>
          <w:p>
            <w:pPr>
              <w:pStyle w:val="Compact"/>
              <w:jc w:val="left"/>
            </w:pPr>
            <w:r>
              <w:t xml:space="preserve">HIPAA, SOC2, 21st Century Cures Act, HTI-1, GDPR, 45 CFR 164.526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wo-products-three-markets"/>
      <w:r>
        <w:t xml:space="preserve">Two Products, Three Markets</w:t>
      </w:r>
      <w:bookmarkEnd w:id="24"/>
    </w:p>
    <w:tbl>
      <w:tblPr>
        <w:tblStyle w:val="Table"/>
        <w:tblW w:type="pct" w:w="5000.0"/>
        <w:tblLook w:firstRow="1"/>
      </w:tblPr>
      <w:tblGrid>
        <w:gridCol w:w="2376"/>
        <w:gridCol w:w="2574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It’s For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They 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WellFit Only</w:t>
            </w:r>
          </w:p>
        </w:tc>
        <w:tc>
          <w:p>
            <w:pPr>
              <w:pStyle w:val="Compact"/>
              <w:jc w:val="left"/>
            </w:pPr>
            <w:r>
              <w:t xml:space="preserve">Community orgs, senior centers, churches</w:t>
            </w:r>
          </w:p>
        </w:tc>
        <w:tc>
          <w:p>
            <w:pPr>
              <w:pStyle w:val="Compact"/>
              <w:jc w:val="left"/>
            </w:pPr>
            <w:r>
              <w:t xml:space="preserve">Daily engagement, vitals tracking, caregiver access, gamification, wellness programs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Envision Atlus Only</w:t>
            </w:r>
          </w:p>
        </w:tc>
        <w:tc>
          <w:p>
            <w:pPr>
              <w:pStyle w:val="Compact"/>
              <w:jc w:val="left"/>
            </w:pPr>
            <w:r>
              <w:t xml:space="preserve">Hospitals, clinics, provider groups</w:t>
            </w:r>
          </w:p>
        </w:tc>
        <w:tc>
          <w:p>
            <w:pPr>
              <w:pStyle w:val="Compact"/>
              <w:jc w:val="left"/>
            </w:pPr>
            <w:r>
              <w:t xml:space="preserve">Clinical workflows, bed management, specialty modules, revenue cycle, interoperability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Both Together</w:t>
            </w:r>
          </w:p>
        </w:tc>
        <w:tc>
          <w:p>
            <w:pPr>
              <w:pStyle w:val="Compact"/>
              <w:jc w:val="left"/>
            </w:pPr>
            <w:r>
              <w:t xml:space="preserve">Integrated health systems</w:t>
            </w:r>
          </w:p>
        </w:tc>
        <w:tc>
          <w:p>
            <w:pPr>
              <w:pStyle w:val="Compact"/>
              <w:jc w:val="left"/>
            </w:pPr>
            <w:r>
              <w:t xml:space="preserve">Home vitals flow to doctors. AI connects community wellness to clinical care. One patient, one record.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ecurity-compliance"/>
      <w:r>
        <w:t xml:space="preserve">Security &amp; Compliance</w:t>
      </w:r>
      <w:bookmarkEnd w:id="25"/>
    </w:p>
    <w:p>
      <w:pPr>
        <w:pStyle w:val="Compact"/>
        <w:numPr>
          <w:numId w:val="1001"/>
          <w:ilvl w:val="0"/>
        </w:numPr>
      </w:pPr>
      <w:r>
        <w:t xml:space="preserve">AES-256-GCM encryption at rest and in transit</w:t>
      </w:r>
    </w:p>
    <w:p>
      <w:pPr>
        <w:pStyle w:val="Compact"/>
        <w:numPr>
          <w:numId w:val="1001"/>
          <w:ilvl w:val="0"/>
        </w:numPr>
      </w:pPr>
      <w:r>
        <w:t xml:space="preserve">Row-level security with tenant isolation on every table</w:t>
      </w:r>
    </w:p>
    <w:p>
      <w:pPr>
        <w:pStyle w:val="Compact"/>
        <w:numPr>
          <w:numId w:val="1001"/>
          <w:ilvl w:val="0"/>
        </w:numPr>
      </w:pPr>
      <w:r>
        <w:t xml:space="preserve">PHI never reaches the browser — patient IDs only, data stays server-side</w:t>
      </w:r>
    </w:p>
    <w:p>
      <w:pPr>
        <w:pStyle w:val="Compact"/>
        <w:numPr>
          <w:numId w:val="1001"/>
          <w:ilvl w:val="0"/>
        </w:numPr>
      </w:pPr>
      <w:r>
        <w:t xml:space="preserve">8-category HIPAA audit trail with PHI access logging</w:t>
      </w:r>
    </w:p>
    <w:p>
      <w:pPr>
        <w:pStyle w:val="Compact"/>
        <w:numPr>
          <w:numId w:val="1001"/>
          <w:ilvl w:val="0"/>
        </w:numPr>
      </w:pPr>
      <w:r>
        <w:t xml:space="preserve">AI model cards for HTI-1 Decision Support Intervention transparency</w:t>
      </w:r>
    </w:p>
    <w:p>
      <w:pPr>
        <w:pStyle w:val="Compact"/>
        <w:numPr>
          <w:numId w:val="1001"/>
          <w:ilvl w:val="0"/>
        </w:numPr>
      </w:pPr>
      <w:r>
        <w:t xml:space="preserve">Guardian Agent for automated self-healing security monitoring</w:t>
      </w:r>
    </w:p>
    <w:p>
      <w:pPr>
        <w:pStyle w:val="Compact"/>
        <w:numPr>
          <w:numId w:val="1001"/>
          <w:ilvl w:val="0"/>
        </w:numPr>
      </w:pPr>
      <w:r>
        <w:t xml:space="preserve">5 SOC2 trust services criteria dashboards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how-it-was-built"/>
      <w:r>
        <w:t xml:space="preserve">How It Was Built</w:t>
      </w:r>
      <w:bookmarkEnd w:id="26"/>
    </w:p>
    <w:p>
      <w:pPr>
        <w:pStyle w:val="FirstParagraph"/>
      </w:pPr>
      <w:r>
        <w:t xml:space="preserve">Built by a superintendent and a nurse using AI development tools. $645 total development cost. Zero software engineers.</w:t>
      </w:r>
    </w:p>
    <w:p>
      <w:pPr>
        <w:pStyle w:val="BodyText"/>
      </w:pPr>
      <w:r>
        <w:t xml:space="preserve">The AI Development Methodology that produced this platform — governance documents that control AI output quality, automated hook-based rule enforcement, and adversarial cross-AI auditing — is itself a repeatable framework for building enterprise software without a traditional engineering team.</w:t>
      </w:r>
    </w:p>
    <w:p>
      <w:pPr>
        <w:pStyle w:val="BodyText"/>
      </w:pPr>
      <w:r>
        <w:rPr>
          <w:b/>
        </w:rPr>
        <w:t xml:space="preserve">Total development cost: $645</w:t>
      </w:r>
      <w:r>
        <w:t xml:space="preserve"> </w:t>
      </w:r>
      <w:r>
        <w:rPr>
          <w:b/>
        </w:rPr>
        <w:t xml:space="preserve">Development time: 9 months</w:t>
      </w:r>
      <w:r>
        <w:t xml:space="preserve"> </w:t>
      </w:r>
      <w:r>
        <w:rPr>
          <w:b/>
        </w:rPr>
        <w:t xml:space="preserve">Engineering team size: 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For technical details, see the full feature list:</w:t>
      </w:r>
      <w:r>
        <w:rPr>
          <w:i/>
        </w:rPr>
        <w:t xml:space="preserve"> </w:t>
      </w:r>
      <w:hyperlink r:id="rId27">
        <w:r>
          <w:rPr>
            <w:rStyle w:val="Hyperlink"/>
            <w:i/>
          </w:rPr>
          <w:t xml:space="preserve">FEATURE_LIST.md</w:t>
        </w:r>
      </w:hyperlink>
      <w:r>
        <w:t xml:space="preserve"> </w:t>
      </w:r>
      <w:r>
        <w:rPr>
          <w:i/>
        </w:rPr>
        <w:t xml:space="preserve">For the methodology:</w:t>
      </w:r>
      <w:r>
        <w:rPr>
          <w:i/>
        </w:rPr>
        <w:t xml:space="preserve"> </w:t>
      </w:r>
      <w:hyperlink r:id="rId28">
        <w:r>
          <w:rPr>
            <w:rStyle w:val="Hyperlink"/>
            <w:i/>
          </w:rPr>
          <w:t xml:space="preserve">AI_DEVELOPMENT_METHODOLOGY.md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FEATURE_LIST.md" TargetMode="External" /><Relationship Type="http://schemas.openxmlformats.org/officeDocument/2006/relationships/hyperlink" Id="rId28" Target="architecture/AI_DEVELOPMENT_METHODOLOGY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FEATURE_LIST.md" TargetMode="External" /><Relationship Type="http://schemas.openxmlformats.org/officeDocument/2006/relationships/hyperlink" Id="rId28" Target="architecture/AI_DEVELOPMENT_METHODOLO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2026-06-11T16:46:50Z</dcterms:created>
  <dcterms:modified xsi:type="dcterms:W3CDTF">2026-06-11T16:46:50Z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