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2213" w14:textId="7A2E480D" w:rsidR="00393A52" w:rsidRDefault="00064380">
      <w:pPr>
        <w:pStyle w:val="1"/>
        <w:jc w:val="center"/>
      </w:pPr>
      <w:r>
        <w:rPr>
          <w:rFonts w:hint="eastAsia"/>
        </w:rPr>
        <w:t>2025-2026</w:t>
      </w:r>
      <w:r>
        <w:rPr>
          <w:rFonts w:hint="eastAsia"/>
        </w:rPr>
        <w:t>学年秋季学期</w:t>
      </w:r>
      <w:r w:rsidR="00000000">
        <w:rPr>
          <w:rFonts w:hint="eastAsia"/>
        </w:rPr>
        <w:t>宪法学</w:t>
      </w:r>
      <w:r>
        <w:rPr>
          <w:rFonts w:hint="eastAsia"/>
        </w:rPr>
        <w:t>（法学）</w:t>
      </w:r>
    </w:p>
    <w:p w14:paraId="07C89CBB" w14:textId="6D875EDD" w:rsidR="00064380" w:rsidRPr="00064380" w:rsidRDefault="00C953C5" w:rsidP="0006438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由</w:t>
      </w:r>
      <w:r w:rsidR="00064380" w:rsidRPr="00064380">
        <w:rPr>
          <w:rFonts w:hint="eastAsia"/>
          <w:b/>
          <w:bCs/>
          <w:sz w:val="28"/>
          <w:szCs w:val="28"/>
        </w:rPr>
        <w:t>24</w:t>
      </w:r>
      <w:r w:rsidR="00064380" w:rsidRPr="00064380">
        <w:rPr>
          <w:rFonts w:hint="eastAsia"/>
          <w:b/>
          <w:bCs/>
          <w:sz w:val="28"/>
          <w:szCs w:val="28"/>
        </w:rPr>
        <w:t>级法学院梁瀚同学回忆</w:t>
      </w:r>
      <w:r>
        <w:rPr>
          <w:rFonts w:hint="eastAsia"/>
          <w:b/>
          <w:bCs/>
          <w:sz w:val="28"/>
          <w:szCs w:val="28"/>
        </w:rPr>
        <w:t>整理</w:t>
      </w:r>
    </w:p>
    <w:p w14:paraId="7428CA8A" w14:textId="77777777" w:rsidR="00393A52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一、填空题（</w:t>
      </w:r>
      <w:r>
        <w:rPr>
          <w:rFonts w:hint="eastAsia"/>
          <w:b/>
          <w:bCs/>
          <w:sz w:val="28"/>
          <w:szCs w:val="36"/>
        </w:rPr>
        <w:t>10*2</w:t>
      </w:r>
      <w:r>
        <w:rPr>
          <w:rFonts w:hint="eastAsia"/>
          <w:b/>
          <w:bCs/>
          <w:sz w:val="28"/>
          <w:szCs w:val="36"/>
        </w:rPr>
        <w:t>）</w:t>
      </w:r>
    </w:p>
    <w:p w14:paraId="54BC4FD7" w14:textId="77777777" w:rsidR="00393A52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宪法惯例</w:t>
      </w:r>
      <w:r>
        <w:rPr>
          <w:rFonts w:hint="eastAsia"/>
          <w:sz w:val="24"/>
          <w:szCs w:val="32"/>
        </w:rPr>
        <w:br/>
      </w:r>
      <w:r>
        <w:rPr>
          <w:rFonts w:hint="eastAsia"/>
          <w:sz w:val="24"/>
          <w:szCs w:val="32"/>
        </w:rPr>
        <w:t>民定宪法</w:t>
      </w:r>
      <w:r>
        <w:rPr>
          <w:rFonts w:hint="eastAsia"/>
          <w:sz w:val="24"/>
          <w:szCs w:val="32"/>
        </w:rPr>
        <w:br/>
        <w:t>2004</w:t>
      </w:r>
      <w:r>
        <w:rPr>
          <w:rFonts w:hint="eastAsia"/>
          <w:sz w:val="24"/>
          <w:szCs w:val="32"/>
        </w:rPr>
        <w:t>年人权入宪</w:t>
      </w:r>
      <w:r>
        <w:rPr>
          <w:rFonts w:hint="eastAsia"/>
          <w:sz w:val="24"/>
          <w:szCs w:val="32"/>
        </w:rPr>
        <w:br/>
      </w:r>
      <w:r>
        <w:rPr>
          <w:rFonts w:hint="eastAsia"/>
          <w:sz w:val="24"/>
          <w:szCs w:val="32"/>
        </w:rPr>
        <w:t>德国的宪法审查机关</w:t>
      </w:r>
    </w:p>
    <w:p w14:paraId="39C6A854" w14:textId="77777777" w:rsidR="00393A52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......</w:t>
      </w:r>
    </w:p>
    <w:p w14:paraId="73CAFC15" w14:textId="77777777" w:rsidR="00393A52" w:rsidRDefault="00000000">
      <w:pPr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二、</w:t>
      </w:r>
      <w:r>
        <w:rPr>
          <w:rFonts w:hint="eastAsia"/>
          <w:b/>
          <w:bCs/>
          <w:sz w:val="28"/>
          <w:szCs w:val="36"/>
        </w:rPr>
        <w:t>判断改错（</w:t>
      </w:r>
      <w:r>
        <w:rPr>
          <w:rFonts w:hint="eastAsia"/>
          <w:b/>
          <w:bCs/>
          <w:sz w:val="28"/>
          <w:szCs w:val="36"/>
        </w:rPr>
        <w:t>10*2</w:t>
      </w:r>
      <w:r>
        <w:rPr>
          <w:rFonts w:hint="eastAsia"/>
          <w:b/>
          <w:bCs/>
          <w:sz w:val="28"/>
          <w:szCs w:val="36"/>
        </w:rPr>
        <w:t>）</w:t>
      </w:r>
      <w:r>
        <w:rPr>
          <w:rFonts w:hint="eastAsia"/>
          <w:b/>
          <w:bCs/>
          <w:sz w:val="28"/>
          <w:szCs w:val="36"/>
        </w:rPr>
        <w:br/>
      </w:r>
      <w:r>
        <w:rPr>
          <w:rFonts w:hint="eastAsia"/>
          <w:sz w:val="24"/>
          <w:szCs w:val="32"/>
        </w:rPr>
        <w:t>人大闭会期间人大常委会能够修改香港基本法</w:t>
      </w:r>
      <w:r>
        <w:rPr>
          <w:rFonts w:hint="eastAsia"/>
          <w:sz w:val="24"/>
          <w:szCs w:val="32"/>
        </w:rPr>
        <w:br/>
        <w:t>......</w:t>
      </w:r>
    </w:p>
    <w:p w14:paraId="4EAD977D" w14:textId="77777777" w:rsidR="00393A52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三、简答（</w:t>
      </w:r>
      <w:r>
        <w:rPr>
          <w:rFonts w:hint="eastAsia"/>
          <w:b/>
          <w:bCs/>
          <w:sz w:val="28"/>
          <w:szCs w:val="36"/>
        </w:rPr>
        <w:t>4*5</w:t>
      </w:r>
      <w:r>
        <w:rPr>
          <w:rFonts w:hint="eastAsia"/>
          <w:b/>
          <w:bCs/>
          <w:sz w:val="28"/>
          <w:szCs w:val="36"/>
        </w:rPr>
        <w:t>）</w:t>
      </w:r>
    </w:p>
    <w:p w14:paraId="087263E2" w14:textId="77777777" w:rsidR="00393A52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修宪权的限制</w:t>
      </w:r>
    </w:p>
    <w:p w14:paraId="604CEA6B" w14:textId="77777777" w:rsidR="00393A52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基本权利主体</w:t>
      </w:r>
    </w:p>
    <w:p w14:paraId="3FE417E0" w14:textId="77777777" w:rsidR="00393A52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民族自治地区变通权的限制</w:t>
      </w:r>
    </w:p>
    <w:p w14:paraId="024091AA" w14:textId="77777777" w:rsidR="00393A52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......</w:t>
      </w:r>
    </w:p>
    <w:p w14:paraId="2925E8E9" w14:textId="77777777" w:rsidR="00393A52" w:rsidRDefault="00000000">
      <w:pPr>
        <w:numPr>
          <w:ilvl w:val="0"/>
          <w:numId w:val="1"/>
        </w:numPr>
        <w:ind w:left="281" w:hangingChars="100" w:hanging="281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案例分析（</w:t>
      </w:r>
      <w:r>
        <w:rPr>
          <w:rFonts w:hint="eastAsia"/>
          <w:b/>
          <w:bCs/>
          <w:sz w:val="28"/>
          <w:szCs w:val="36"/>
        </w:rPr>
        <w:t>2*10</w:t>
      </w:r>
      <w:r>
        <w:rPr>
          <w:rFonts w:hint="eastAsia"/>
          <w:b/>
          <w:bCs/>
          <w:sz w:val="28"/>
          <w:szCs w:val="36"/>
        </w:rPr>
        <w:t>）</w:t>
      </w:r>
    </w:p>
    <w:p w14:paraId="2AC66503" w14:textId="77777777" w:rsidR="00393A52" w:rsidRDefault="00000000">
      <w:pPr>
        <w:ind w:leftChars="-100" w:left="-210"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2005</w:t>
      </w:r>
      <w:r>
        <w:rPr>
          <w:rFonts w:hint="eastAsia"/>
          <w:sz w:val="24"/>
          <w:szCs w:val="32"/>
        </w:rPr>
        <w:t>年重庆何源案，农村户籍受害者获赔</w:t>
      </w:r>
      <w:r>
        <w:rPr>
          <w:rFonts w:hint="eastAsia"/>
          <w:sz w:val="24"/>
          <w:szCs w:val="32"/>
        </w:rPr>
        <w:t>5.8</w:t>
      </w:r>
      <w:r>
        <w:rPr>
          <w:rFonts w:hint="eastAsia"/>
          <w:sz w:val="24"/>
          <w:szCs w:val="32"/>
        </w:rPr>
        <w:t>万元，而同案城镇户籍受害者赔偿超</w:t>
      </w:r>
      <w:r>
        <w:rPr>
          <w:rFonts w:hint="eastAsia"/>
          <w:sz w:val="24"/>
          <w:szCs w:val="32"/>
        </w:rPr>
        <w:t>20</w:t>
      </w:r>
      <w:r>
        <w:rPr>
          <w:rFonts w:hint="eastAsia"/>
          <w:sz w:val="24"/>
          <w:szCs w:val="32"/>
        </w:rPr>
        <w:t>万元，其法律依据为</w:t>
      </w:r>
      <w:r>
        <w:rPr>
          <w:rFonts w:hint="eastAsia"/>
          <w:sz w:val="24"/>
          <w:szCs w:val="32"/>
        </w:rPr>
        <w:t>2003</w:t>
      </w:r>
      <w:r>
        <w:rPr>
          <w:rFonts w:hint="eastAsia"/>
          <w:sz w:val="24"/>
          <w:szCs w:val="32"/>
        </w:rPr>
        <w:t>年《最高人民法院关于审理人身损害赔偿案件适用法律若干问题的解释》第</w:t>
      </w:r>
      <w:r>
        <w:rPr>
          <w:rFonts w:hint="eastAsia"/>
          <w:sz w:val="24"/>
          <w:szCs w:val="32"/>
        </w:rPr>
        <w:t>29</w:t>
      </w:r>
      <w:r>
        <w:rPr>
          <w:rFonts w:hint="eastAsia"/>
          <w:sz w:val="24"/>
          <w:szCs w:val="32"/>
        </w:rPr>
        <w:t>条，规定死亡赔偿金按城镇居民或农村居民人均收入标准分档计算。</w:t>
      </w:r>
    </w:p>
    <w:p w14:paraId="1A0499E1" w14:textId="77777777" w:rsidR="00393A52" w:rsidRDefault="00000000">
      <w:pPr>
        <w:numPr>
          <w:ilvl w:val="0"/>
          <w:numId w:val="2"/>
        </w:numPr>
        <w:ind w:leftChars="-100" w:left="-210"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阐释平等权</w:t>
      </w:r>
    </w:p>
    <w:p w14:paraId="7362B133" w14:textId="77777777" w:rsidR="00393A52" w:rsidRDefault="00000000">
      <w:pPr>
        <w:numPr>
          <w:ilvl w:val="0"/>
          <w:numId w:val="2"/>
        </w:numPr>
        <w:ind w:leftChars="-100" w:left="-210"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分析这一规定在过去和现在的合宪性</w:t>
      </w:r>
    </w:p>
    <w:p w14:paraId="750868DA" w14:textId="77777777" w:rsidR="00393A52" w:rsidRDefault="00000000">
      <w:pPr>
        <w:rPr>
          <w:sz w:val="24"/>
          <w:szCs w:val="32"/>
        </w:rPr>
      </w:pPr>
      <w:r>
        <w:rPr>
          <w:rFonts w:hint="eastAsia"/>
          <w:b/>
          <w:bCs/>
          <w:sz w:val="28"/>
          <w:szCs w:val="36"/>
        </w:rPr>
        <w:t>五、论述（</w:t>
      </w:r>
      <w:r>
        <w:rPr>
          <w:rFonts w:hint="eastAsia"/>
          <w:b/>
          <w:bCs/>
          <w:sz w:val="28"/>
          <w:szCs w:val="36"/>
        </w:rPr>
        <w:t>20</w:t>
      </w:r>
      <w:r>
        <w:rPr>
          <w:rFonts w:hint="eastAsia"/>
          <w:b/>
          <w:bCs/>
          <w:sz w:val="28"/>
          <w:szCs w:val="36"/>
        </w:rPr>
        <w:t>）</w:t>
      </w:r>
      <w:r>
        <w:rPr>
          <w:rFonts w:hint="eastAsia"/>
          <w:b/>
          <w:bCs/>
          <w:sz w:val="28"/>
          <w:szCs w:val="36"/>
        </w:rPr>
        <w:br/>
      </w:r>
      <w:r>
        <w:rPr>
          <w:rFonts w:hint="eastAsia"/>
          <w:sz w:val="24"/>
          <w:szCs w:val="32"/>
        </w:rPr>
        <w:t>从基本权利能否及于私人关系的角度论述基本权利的效力</w:t>
      </w:r>
    </w:p>
    <w:p w14:paraId="5F1B1F7D" w14:textId="77777777" w:rsidR="00393A52" w:rsidRDefault="00393A52">
      <w:pPr>
        <w:rPr>
          <w:b/>
          <w:bCs/>
          <w:sz w:val="24"/>
          <w:szCs w:val="32"/>
        </w:rPr>
      </w:pPr>
    </w:p>
    <w:sectPr w:rsidR="00393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F0B31E"/>
    <w:multiLevelType w:val="singleLevel"/>
    <w:tmpl w:val="99F0B31E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D1E751C2"/>
    <w:multiLevelType w:val="singleLevel"/>
    <w:tmpl w:val="D1E751C2"/>
    <w:lvl w:ilvl="0">
      <w:start w:val="1"/>
      <w:numFmt w:val="decimal"/>
      <w:suff w:val="nothing"/>
      <w:lvlText w:val="%1、"/>
      <w:lvlJc w:val="left"/>
    </w:lvl>
  </w:abstractNum>
  <w:num w:numId="1" w16cid:durableId="290795017">
    <w:abstractNumId w:val="0"/>
  </w:num>
  <w:num w:numId="2" w16cid:durableId="709837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VkZTdkOTFkNjNlN2QzMmI2N2RiMGI3NGNhOTRmMjYifQ=="/>
  </w:docVars>
  <w:rsids>
    <w:rsidRoot w:val="00393A52"/>
    <w:rsid w:val="00064380"/>
    <w:rsid w:val="00393A52"/>
    <w:rsid w:val="0078676F"/>
    <w:rsid w:val="00C953C5"/>
    <w:rsid w:val="3C64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14BA2"/>
  <w15:docId w15:val="{82D80787-8EAE-447D-AEFE-BEBF05AA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194</Characters>
  <Application>Microsoft Office Word</Application>
  <DocSecurity>0</DocSecurity>
  <Lines>14</Lines>
  <Paragraphs>17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EVANGELION-01</dc:creator>
  <cp:lastModifiedBy>井源 李</cp:lastModifiedBy>
  <cp:revision>3</cp:revision>
  <dcterms:created xsi:type="dcterms:W3CDTF">2026-01-13T14:13:00Z</dcterms:created>
  <dcterms:modified xsi:type="dcterms:W3CDTF">2026-01-13T14:13:00Z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502E5AB459FD413DA8C18E2B462FB5E1_12</vt:lpwstr>
  </property>
  <property fmtid="{D5CDD505-2E9C-101B-9397-08002B2CF9AE}" pid="4" name="GrammarlyDocumentId">
    <vt:lpwstr>21d8d4ce-bfae-499e-8f89-8ab6708e98e2</vt:lpwstr>
  </property>
</Properties>
</file>