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2F828" w14:textId="2BC5DA84" w:rsidR="00425296" w:rsidRPr="000F67E8" w:rsidRDefault="00A94B9C" w:rsidP="0008249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0F67E8">
        <w:rPr>
          <w:rFonts w:ascii="Arial" w:hAnsi="Arial" w:cs="Arial"/>
          <w:b/>
          <w:bCs/>
          <w:sz w:val="28"/>
          <w:szCs w:val="28"/>
        </w:rPr>
        <w:t>Methane Early Warning Network (ME-NET)</w:t>
      </w:r>
    </w:p>
    <w:p w14:paraId="645862DD" w14:textId="7269A0A1" w:rsidR="00A94B9C" w:rsidRPr="0008249B" w:rsidRDefault="0008249B" w:rsidP="006229A7">
      <w:pPr>
        <w:jc w:val="center"/>
        <w:rPr>
          <w:rFonts w:ascii="Arial" w:hAnsi="Arial" w:cs="Arial"/>
        </w:rPr>
      </w:pPr>
      <w:r w:rsidRPr="000F67E8">
        <w:rPr>
          <w:rFonts w:ascii="Arial" w:hAnsi="Arial" w:cs="Arial"/>
          <w:color w:val="404040" w:themeColor="text1" w:themeTint="BF"/>
        </w:rPr>
        <w:t>Team</w:t>
      </w:r>
      <w:r w:rsidR="00A94B9C" w:rsidRPr="000F67E8">
        <w:rPr>
          <w:rFonts w:ascii="Arial" w:hAnsi="Arial" w:cs="Arial"/>
          <w:color w:val="404040" w:themeColor="text1" w:themeTint="BF"/>
        </w:rPr>
        <w:t xml:space="preserve"> </w:t>
      </w:r>
      <w:r w:rsidRPr="000F67E8">
        <w:rPr>
          <w:rFonts w:ascii="Arial" w:hAnsi="Arial" w:cs="Arial"/>
          <w:color w:val="404040" w:themeColor="text1" w:themeTint="BF"/>
        </w:rPr>
        <w:t>O</w:t>
      </w:r>
      <w:r w:rsidRPr="000F67E8">
        <w:rPr>
          <w:rFonts w:ascii="Arial" w:hAnsi="Arial" w:cs="Arial"/>
          <w:color w:val="404040" w:themeColor="text1" w:themeTint="BF"/>
          <w:vertAlign w:val="subscript"/>
        </w:rPr>
        <w:t>2</w:t>
      </w:r>
      <w:r w:rsidRPr="000F67E8">
        <w:rPr>
          <w:rFonts w:ascii="Arial" w:hAnsi="Arial" w:cs="Arial"/>
          <w:color w:val="404040" w:themeColor="text1" w:themeTint="BF"/>
        </w:rPr>
        <w:t xml:space="preserve">H: </w:t>
      </w:r>
      <w:r w:rsidR="00A94B9C" w:rsidRPr="000F67E8">
        <w:rPr>
          <w:rFonts w:ascii="Arial" w:hAnsi="Arial" w:cs="Arial"/>
          <w:color w:val="404040" w:themeColor="text1" w:themeTint="BF"/>
        </w:rPr>
        <w:t xml:space="preserve">One (Environmental &amp; Mental) </w:t>
      </w:r>
      <w:r w:rsidR="000F67E8">
        <w:rPr>
          <w:rFonts w:ascii="Arial" w:hAnsi="Arial" w:cs="Arial"/>
          <w:color w:val="404040" w:themeColor="text1" w:themeTint="BF"/>
        </w:rPr>
        <w:t>H</w:t>
      </w:r>
      <w:r w:rsidR="00A94B9C" w:rsidRPr="000F67E8">
        <w:rPr>
          <w:rFonts w:ascii="Arial" w:hAnsi="Arial" w:cs="Arial"/>
          <w:color w:val="404040" w:themeColor="text1" w:themeTint="BF"/>
        </w:rPr>
        <w:t>ealth</w:t>
      </w:r>
    </w:p>
    <w:p w14:paraId="2506AC4F" w14:textId="3BCEC952" w:rsidR="00C76A56" w:rsidRPr="00A03750" w:rsidRDefault="00C76A56" w:rsidP="0006603B">
      <w:pPr>
        <w:spacing w:after="0"/>
        <w:rPr>
          <w:rFonts w:ascii="Arial" w:hAnsi="Arial" w:cs="Arial"/>
        </w:rPr>
      </w:pPr>
      <w:r w:rsidRPr="7091ED7B">
        <w:rPr>
          <w:rFonts w:ascii="Arial" w:hAnsi="Arial" w:cs="Arial"/>
          <w:b/>
          <w:bCs/>
          <w:u w:val="single"/>
        </w:rPr>
        <w:t>Background:</w:t>
      </w:r>
      <w:r w:rsidR="006229A7" w:rsidRPr="7091ED7B">
        <w:rPr>
          <w:rFonts w:ascii="Arial" w:hAnsi="Arial" w:cs="Arial"/>
        </w:rPr>
        <w:t xml:space="preserve"> </w:t>
      </w:r>
      <w:r w:rsidR="00ED270C" w:rsidRPr="7091ED7B">
        <w:rPr>
          <w:rFonts w:ascii="Arial" w:hAnsi="Arial" w:cs="Arial"/>
        </w:rPr>
        <w:t xml:space="preserve">Methane is one of the most important precursors to on-ground ozone </w:t>
      </w:r>
      <w:r w:rsidR="007E0850" w:rsidRPr="7091ED7B">
        <w:rPr>
          <w:rFonts w:ascii="Arial" w:hAnsi="Arial" w:cs="Arial"/>
        </w:rPr>
        <w:t>and</w:t>
      </w:r>
      <w:r w:rsidR="00ED270C" w:rsidRPr="7091ED7B">
        <w:rPr>
          <w:rFonts w:ascii="Arial" w:hAnsi="Arial" w:cs="Arial"/>
        </w:rPr>
        <w:t xml:space="preserve"> has direct and indirect environmental and health consequences. </w:t>
      </w:r>
      <w:r w:rsidR="007E0850" w:rsidRPr="7091ED7B">
        <w:rPr>
          <w:rFonts w:ascii="Arial" w:hAnsi="Arial" w:cs="Arial"/>
        </w:rPr>
        <w:t>Aside from contributing to greenhouse gases, h</w:t>
      </w:r>
      <w:r w:rsidR="00192CC6" w:rsidRPr="7091ED7B">
        <w:rPr>
          <w:rFonts w:ascii="Arial" w:hAnsi="Arial" w:cs="Arial"/>
        </w:rPr>
        <w:t xml:space="preserve">igh on-ground ozone concentrations are associated with </w:t>
      </w:r>
      <w:r w:rsidR="007E0850" w:rsidRPr="7091ED7B">
        <w:rPr>
          <w:rFonts w:ascii="Arial" w:hAnsi="Arial" w:cs="Arial"/>
        </w:rPr>
        <w:t xml:space="preserve">acute respiratory and mental health conditions, often resulting in </w:t>
      </w:r>
      <w:r w:rsidR="29CBD17A" w:rsidRPr="7091ED7B">
        <w:rPr>
          <w:rFonts w:ascii="Arial" w:hAnsi="Arial" w:cs="Arial"/>
        </w:rPr>
        <w:t xml:space="preserve">the </w:t>
      </w:r>
      <w:r w:rsidR="007E0850" w:rsidRPr="7091ED7B">
        <w:rPr>
          <w:rFonts w:ascii="Arial" w:hAnsi="Arial" w:cs="Arial"/>
        </w:rPr>
        <w:t xml:space="preserve">utilisation of </w:t>
      </w:r>
      <w:r w:rsidR="00575B54" w:rsidRPr="7091ED7B">
        <w:rPr>
          <w:rFonts w:ascii="Arial" w:hAnsi="Arial" w:cs="Arial"/>
        </w:rPr>
        <w:t>E</w:t>
      </w:r>
      <w:r w:rsidR="007E0850" w:rsidRPr="7091ED7B">
        <w:rPr>
          <w:rFonts w:ascii="Arial" w:hAnsi="Arial" w:cs="Arial"/>
        </w:rPr>
        <w:t xml:space="preserve">mergency </w:t>
      </w:r>
      <w:r w:rsidR="00575B54" w:rsidRPr="7091ED7B">
        <w:rPr>
          <w:rFonts w:ascii="Arial" w:hAnsi="Arial" w:cs="Arial"/>
        </w:rPr>
        <w:t>M</w:t>
      </w:r>
      <w:r w:rsidR="007E0850" w:rsidRPr="7091ED7B">
        <w:rPr>
          <w:rFonts w:ascii="Arial" w:hAnsi="Arial" w:cs="Arial"/>
        </w:rPr>
        <w:t xml:space="preserve">edical </w:t>
      </w:r>
      <w:r w:rsidR="00575B54" w:rsidRPr="7091ED7B">
        <w:rPr>
          <w:rFonts w:ascii="Arial" w:hAnsi="Arial" w:cs="Arial"/>
        </w:rPr>
        <w:t>S</w:t>
      </w:r>
      <w:r w:rsidR="007E0850" w:rsidRPr="7091ED7B">
        <w:rPr>
          <w:rFonts w:ascii="Arial" w:hAnsi="Arial" w:cs="Arial"/>
        </w:rPr>
        <w:t xml:space="preserve">ervices </w:t>
      </w:r>
      <w:r w:rsidR="008E1C5B" w:rsidRPr="7091ED7B">
        <w:rPr>
          <w:rFonts w:ascii="Arial" w:hAnsi="Arial" w:cs="Arial"/>
        </w:rPr>
        <w:t xml:space="preserve">(EMS) </w:t>
      </w:r>
      <w:r w:rsidR="0070292D" w:rsidRPr="7091ED7B">
        <w:rPr>
          <w:rFonts w:ascii="Arial" w:hAnsi="Arial" w:cs="Arial"/>
        </w:rPr>
        <w:t xml:space="preserve">including </w:t>
      </w:r>
      <w:r w:rsidR="007E0850" w:rsidRPr="7091ED7B">
        <w:rPr>
          <w:rFonts w:ascii="Arial" w:hAnsi="Arial" w:cs="Arial"/>
        </w:rPr>
        <w:t>ambulances and hospital</w:t>
      </w:r>
      <w:r w:rsidR="00C06D44" w:rsidRPr="7091ED7B">
        <w:rPr>
          <w:rFonts w:ascii="Arial" w:hAnsi="Arial" w:cs="Arial"/>
        </w:rPr>
        <w:t>s</w:t>
      </w:r>
      <w:r w:rsidR="007E0850" w:rsidRPr="7091ED7B">
        <w:rPr>
          <w:rFonts w:ascii="Arial" w:hAnsi="Arial" w:cs="Arial"/>
        </w:rPr>
        <w:t xml:space="preserve"> for urgent treatment. </w:t>
      </w:r>
      <w:r w:rsidRPr="7091ED7B">
        <w:rPr>
          <w:rFonts w:ascii="Arial" w:hAnsi="Arial" w:cs="Arial"/>
        </w:rPr>
        <w:t xml:space="preserve">Technological advances </w:t>
      </w:r>
      <w:r w:rsidR="00E21D75" w:rsidRPr="7091ED7B">
        <w:rPr>
          <w:rFonts w:ascii="Arial" w:hAnsi="Arial" w:cs="Arial"/>
        </w:rPr>
        <w:t>are rapidly improving the accuracy of environmental monitoring and the usability of environmental data</w:t>
      </w:r>
      <w:r w:rsidR="006A0BB6" w:rsidRPr="7091ED7B">
        <w:rPr>
          <w:rFonts w:ascii="Arial" w:hAnsi="Arial" w:cs="Arial"/>
        </w:rPr>
        <w:t xml:space="preserve"> including </w:t>
      </w:r>
      <w:r w:rsidR="001E5B01" w:rsidRPr="7091ED7B">
        <w:rPr>
          <w:rFonts w:ascii="Arial" w:hAnsi="Arial" w:cs="Arial"/>
        </w:rPr>
        <w:t>m</w:t>
      </w:r>
      <w:r w:rsidR="006A0BB6" w:rsidRPr="7091ED7B">
        <w:rPr>
          <w:rFonts w:ascii="Arial" w:hAnsi="Arial" w:cs="Arial"/>
        </w:rPr>
        <w:t xml:space="preserve">ethane (E.g., UN ‘MARS’ project). </w:t>
      </w:r>
      <w:r w:rsidR="00192CC6" w:rsidRPr="7091ED7B">
        <w:rPr>
          <w:rFonts w:ascii="Arial" w:hAnsi="Arial" w:cs="Arial"/>
        </w:rPr>
        <w:t xml:space="preserve">Compared to the environmental implications of </w:t>
      </w:r>
      <w:r w:rsidR="001E5B01" w:rsidRPr="7091ED7B">
        <w:rPr>
          <w:rFonts w:ascii="Arial" w:hAnsi="Arial" w:cs="Arial"/>
        </w:rPr>
        <w:t>m</w:t>
      </w:r>
      <w:r w:rsidR="00192CC6" w:rsidRPr="7091ED7B">
        <w:rPr>
          <w:rFonts w:ascii="Arial" w:hAnsi="Arial" w:cs="Arial"/>
        </w:rPr>
        <w:t>ethane emissions, the health effects are much less well understood</w:t>
      </w:r>
      <w:r w:rsidR="007E0850" w:rsidRPr="7091ED7B">
        <w:rPr>
          <w:rFonts w:ascii="Arial" w:hAnsi="Arial" w:cs="Arial"/>
        </w:rPr>
        <w:t>. This is partly because</w:t>
      </w:r>
      <w:r w:rsidR="00192CC6" w:rsidRPr="7091ED7B">
        <w:rPr>
          <w:rFonts w:ascii="Arial" w:hAnsi="Arial" w:cs="Arial"/>
        </w:rPr>
        <w:t xml:space="preserve"> health data </w:t>
      </w:r>
      <w:r w:rsidR="00F9733E" w:rsidRPr="7091ED7B">
        <w:rPr>
          <w:rFonts w:ascii="Arial" w:hAnsi="Arial" w:cs="Arial"/>
        </w:rPr>
        <w:t>are</w:t>
      </w:r>
      <w:r w:rsidR="00192CC6" w:rsidRPr="7091ED7B">
        <w:rPr>
          <w:rFonts w:ascii="Arial" w:hAnsi="Arial" w:cs="Arial"/>
        </w:rPr>
        <w:t xml:space="preserve"> difficult to</w:t>
      </w:r>
      <w:r w:rsidR="001E5B01" w:rsidRPr="7091ED7B">
        <w:rPr>
          <w:rFonts w:ascii="Arial" w:hAnsi="Arial" w:cs="Arial"/>
        </w:rPr>
        <w:t xml:space="preserve"> access, and the temporal and geospatial scale of health data varies considerably between sources and compared to methane measures</w:t>
      </w:r>
      <w:r w:rsidR="00192CC6" w:rsidRPr="7091ED7B">
        <w:rPr>
          <w:rFonts w:ascii="Arial" w:hAnsi="Arial" w:cs="Arial"/>
        </w:rPr>
        <w:t>.</w:t>
      </w:r>
      <w:r w:rsidR="001E5B01" w:rsidRPr="7091ED7B">
        <w:rPr>
          <w:rFonts w:ascii="Arial" w:hAnsi="Arial" w:cs="Arial"/>
        </w:rPr>
        <w:t xml:space="preserve"> </w:t>
      </w:r>
      <w:r w:rsidR="006A5B65" w:rsidRPr="7091ED7B">
        <w:rPr>
          <w:rFonts w:ascii="Arial" w:hAnsi="Arial" w:cs="Arial"/>
        </w:rPr>
        <w:t>Technological innovation like the MARS project could be harnessed to support public health systems to mitigate the effects of ozone on health outcomes</w:t>
      </w:r>
      <w:r w:rsidR="002630DD" w:rsidRPr="7091ED7B">
        <w:rPr>
          <w:rFonts w:ascii="Arial" w:hAnsi="Arial" w:cs="Arial"/>
        </w:rPr>
        <w:t>, and to explore direct links between methane and health emergencies</w:t>
      </w:r>
      <w:r w:rsidR="006A5B65" w:rsidRPr="7091ED7B">
        <w:rPr>
          <w:rFonts w:ascii="Arial" w:hAnsi="Arial" w:cs="Arial"/>
        </w:rPr>
        <w:t xml:space="preserve">. </w:t>
      </w:r>
      <w:r w:rsidR="001E5B01" w:rsidRPr="7091ED7B">
        <w:rPr>
          <w:rFonts w:ascii="Arial" w:hAnsi="Arial" w:cs="Arial"/>
        </w:rPr>
        <w:t xml:space="preserve">There is an urgent need to improve understanding of </w:t>
      </w:r>
      <w:r w:rsidR="006A5B65" w:rsidRPr="7091ED7B">
        <w:rPr>
          <w:rFonts w:ascii="Arial" w:hAnsi="Arial" w:cs="Arial"/>
        </w:rPr>
        <w:t xml:space="preserve">how methane impacts health and to </w:t>
      </w:r>
      <w:r w:rsidR="006A5B65" w:rsidRPr="00A03750">
        <w:rPr>
          <w:rFonts w:ascii="Arial" w:hAnsi="Arial" w:cs="Arial"/>
        </w:rPr>
        <w:t xml:space="preserve">develop data-driven solutions to, a) inform public health systems, including prehospital, hospital and </w:t>
      </w:r>
      <w:r w:rsidR="0070292D" w:rsidRPr="00A03750">
        <w:rPr>
          <w:rFonts w:ascii="Arial" w:hAnsi="Arial" w:cs="Arial"/>
        </w:rPr>
        <w:t>EMS</w:t>
      </w:r>
      <w:r w:rsidR="006A5B65" w:rsidRPr="00A03750">
        <w:rPr>
          <w:rFonts w:ascii="Arial" w:hAnsi="Arial" w:cs="Arial"/>
        </w:rPr>
        <w:t xml:space="preserve">, b) promote data trustworthiness to overcome the </w:t>
      </w:r>
      <w:r w:rsidR="00145F8E" w:rsidRPr="00A03750">
        <w:rPr>
          <w:rFonts w:ascii="Arial" w:hAnsi="Arial" w:cs="Arial"/>
        </w:rPr>
        <w:t xml:space="preserve">science </w:t>
      </w:r>
      <w:r w:rsidR="006A5B65" w:rsidRPr="00A03750">
        <w:rPr>
          <w:rFonts w:ascii="Arial" w:hAnsi="Arial" w:cs="Arial"/>
        </w:rPr>
        <w:t>hesitancy of many vulnerable communities to engage with data science</w:t>
      </w:r>
      <w:r w:rsidR="00D04E43" w:rsidRPr="00A03750">
        <w:rPr>
          <w:rFonts w:ascii="Arial" w:hAnsi="Arial" w:cs="Arial"/>
        </w:rPr>
        <w:t>, and c) support social and ecological justice</w:t>
      </w:r>
      <w:r w:rsidR="007D286C" w:rsidRPr="00A03750">
        <w:rPr>
          <w:rFonts w:ascii="Arial" w:hAnsi="Arial" w:cs="Arial"/>
        </w:rPr>
        <w:t xml:space="preserve"> taking a ‘One Health’ approach</w:t>
      </w:r>
      <w:r w:rsidR="00D04E43" w:rsidRPr="00A03750">
        <w:rPr>
          <w:rFonts w:ascii="Arial" w:hAnsi="Arial" w:cs="Arial"/>
        </w:rPr>
        <w:t xml:space="preserve">, particularly in low and middle income regions with limited incentives for corporate responsibility around monitoring and reporting emissions, leaks and flares. </w:t>
      </w:r>
    </w:p>
    <w:p w14:paraId="774C8B61" w14:textId="259E0CFC" w:rsidR="00C07904" w:rsidRDefault="00AA2BFD" w:rsidP="0006603B">
      <w:pPr>
        <w:spacing w:after="0"/>
        <w:ind w:firstLine="720"/>
        <w:rPr>
          <w:rFonts w:ascii="Arial" w:hAnsi="Arial" w:cs="Arial"/>
        </w:rPr>
      </w:pPr>
      <w:r w:rsidRPr="00A03750">
        <w:rPr>
          <w:rFonts w:ascii="Arial" w:hAnsi="Arial" w:cs="Arial"/>
          <w:b/>
          <w:bCs/>
          <w:u w:val="single"/>
        </w:rPr>
        <w:t>ME-NET:</w:t>
      </w:r>
      <w:r w:rsidR="006229A7" w:rsidRPr="00A03750">
        <w:rPr>
          <w:rFonts w:ascii="Arial" w:hAnsi="Arial" w:cs="Arial"/>
        </w:rPr>
        <w:t xml:space="preserve"> </w:t>
      </w:r>
      <w:r w:rsidR="004C18A8" w:rsidRPr="00A03750">
        <w:rPr>
          <w:rFonts w:ascii="Arial" w:hAnsi="Arial" w:cs="Arial"/>
        </w:rPr>
        <w:t xml:space="preserve">Aim: </w:t>
      </w:r>
      <w:r w:rsidR="00F147B9" w:rsidRPr="00A03750">
        <w:rPr>
          <w:rFonts w:ascii="Arial" w:hAnsi="Arial" w:cs="Arial"/>
        </w:rPr>
        <w:t>T</w:t>
      </w:r>
      <w:r w:rsidR="00F72158" w:rsidRPr="00A03750">
        <w:rPr>
          <w:rFonts w:ascii="Arial" w:hAnsi="Arial" w:cs="Arial"/>
        </w:rPr>
        <w:t>o champion social and ecological justice</w:t>
      </w:r>
      <w:r w:rsidR="00397CD4" w:rsidRPr="00A03750">
        <w:rPr>
          <w:rFonts w:ascii="Arial" w:hAnsi="Arial" w:cs="Arial"/>
        </w:rPr>
        <w:t xml:space="preserve"> by </w:t>
      </w:r>
      <w:r w:rsidR="00D954C0" w:rsidRPr="00A03750">
        <w:rPr>
          <w:rFonts w:ascii="Arial" w:hAnsi="Arial" w:cs="Arial"/>
          <w:b/>
          <w:bCs/>
          <w:i/>
          <w:iCs/>
        </w:rPr>
        <w:t xml:space="preserve">improving </w:t>
      </w:r>
      <w:r w:rsidR="0068028B" w:rsidRPr="00A03750">
        <w:rPr>
          <w:rFonts w:ascii="Arial" w:hAnsi="Arial" w:cs="Arial"/>
          <w:b/>
          <w:bCs/>
          <w:i/>
          <w:iCs/>
        </w:rPr>
        <w:t xml:space="preserve">awareness and </w:t>
      </w:r>
      <w:r w:rsidR="00D954C0" w:rsidRPr="00A03750">
        <w:rPr>
          <w:rFonts w:ascii="Arial" w:hAnsi="Arial" w:cs="Arial"/>
          <w:b/>
          <w:bCs/>
          <w:i/>
          <w:iCs/>
        </w:rPr>
        <w:t xml:space="preserve">understanding of </w:t>
      </w:r>
      <w:r w:rsidR="00805A80" w:rsidRPr="00A03750">
        <w:rPr>
          <w:rFonts w:ascii="Arial" w:hAnsi="Arial" w:cs="Arial"/>
          <w:b/>
          <w:bCs/>
          <w:i/>
          <w:iCs/>
        </w:rPr>
        <w:t xml:space="preserve">the relationship between methane and </w:t>
      </w:r>
      <w:r w:rsidR="00D954C0" w:rsidRPr="00A03750">
        <w:rPr>
          <w:rFonts w:ascii="Arial" w:hAnsi="Arial" w:cs="Arial"/>
          <w:b/>
          <w:bCs/>
          <w:i/>
          <w:iCs/>
        </w:rPr>
        <w:t>health</w:t>
      </w:r>
      <w:r w:rsidR="00D954C0" w:rsidRPr="7091ED7B">
        <w:rPr>
          <w:rFonts w:ascii="Arial" w:hAnsi="Arial" w:cs="Arial"/>
          <w:b/>
          <w:bCs/>
          <w:i/>
          <w:iCs/>
        </w:rPr>
        <w:t xml:space="preserve"> outcome</w:t>
      </w:r>
      <w:r w:rsidR="00805A80" w:rsidRPr="7091ED7B">
        <w:rPr>
          <w:rFonts w:ascii="Arial" w:hAnsi="Arial" w:cs="Arial"/>
          <w:b/>
          <w:bCs/>
          <w:i/>
          <w:iCs/>
        </w:rPr>
        <w:t>s</w:t>
      </w:r>
      <w:r w:rsidR="00D954C0" w:rsidRPr="7091ED7B">
        <w:rPr>
          <w:rFonts w:ascii="Arial" w:hAnsi="Arial" w:cs="Arial"/>
          <w:b/>
          <w:bCs/>
          <w:i/>
          <w:iCs/>
        </w:rPr>
        <w:t xml:space="preserve">, </w:t>
      </w:r>
      <w:r w:rsidR="00F72158" w:rsidRPr="7091ED7B">
        <w:rPr>
          <w:rFonts w:ascii="Arial" w:hAnsi="Arial" w:cs="Arial"/>
          <w:b/>
          <w:bCs/>
          <w:i/>
          <w:iCs/>
        </w:rPr>
        <w:t>encouraging companies to reduce their footprint for climate change mitigation,</w:t>
      </w:r>
      <w:r w:rsidR="00F72158" w:rsidRPr="7091ED7B">
        <w:rPr>
          <w:rFonts w:ascii="Arial" w:hAnsi="Arial" w:cs="Arial"/>
        </w:rPr>
        <w:t xml:space="preserve"> </w:t>
      </w:r>
      <w:r w:rsidR="00F72158" w:rsidRPr="7091ED7B">
        <w:rPr>
          <w:rFonts w:ascii="Arial" w:hAnsi="Arial" w:cs="Arial"/>
          <w:b/>
          <w:bCs/>
          <w:i/>
          <w:iCs/>
        </w:rPr>
        <w:t>increasing the visibility of ‘hidden’ voices, and improving understanding of service access inequalities</w:t>
      </w:r>
      <w:r w:rsidR="00A548DF" w:rsidRPr="7091ED7B">
        <w:rPr>
          <w:rFonts w:ascii="Arial" w:hAnsi="Arial" w:cs="Arial"/>
          <w:b/>
          <w:bCs/>
          <w:i/>
          <w:iCs/>
        </w:rPr>
        <w:t xml:space="preserve">. </w:t>
      </w:r>
      <w:r w:rsidR="00A82AFF" w:rsidRPr="7091ED7B">
        <w:rPr>
          <w:rFonts w:ascii="Arial" w:hAnsi="Arial" w:cs="Arial"/>
        </w:rPr>
        <w:t>Our</w:t>
      </w:r>
      <w:r w:rsidR="00F55DA8" w:rsidRPr="7091ED7B">
        <w:rPr>
          <w:rFonts w:ascii="Arial" w:hAnsi="Arial" w:cs="Arial"/>
        </w:rPr>
        <w:t xml:space="preserve"> </w:t>
      </w:r>
      <w:r w:rsidR="00CA14A3" w:rsidRPr="7091ED7B">
        <w:rPr>
          <w:rFonts w:ascii="Arial" w:hAnsi="Arial" w:cs="Arial"/>
        </w:rPr>
        <w:t xml:space="preserve">prototype </w:t>
      </w:r>
      <w:r w:rsidR="000F7B4E" w:rsidRPr="7091ED7B">
        <w:rPr>
          <w:rFonts w:ascii="Arial" w:hAnsi="Arial" w:cs="Arial"/>
        </w:rPr>
        <w:t>has five purposes</w:t>
      </w:r>
      <w:r w:rsidR="00515D18" w:rsidRPr="7091ED7B">
        <w:rPr>
          <w:rFonts w:ascii="Arial" w:hAnsi="Arial" w:cs="Arial"/>
        </w:rPr>
        <w:t xml:space="preserve"> aligned with modular functions: </w:t>
      </w:r>
    </w:p>
    <w:p w14:paraId="7B4C26FE" w14:textId="1A4E6843" w:rsidR="00C07904" w:rsidRDefault="00DA386F" w:rsidP="00C177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177C6">
        <w:rPr>
          <w:rFonts w:ascii="Arial" w:hAnsi="Arial" w:cs="Arial"/>
        </w:rPr>
        <w:t>1</w:t>
      </w:r>
      <w:r w:rsidR="000F7B4E" w:rsidRPr="000F7B4E">
        <w:rPr>
          <w:rFonts w:ascii="Arial" w:hAnsi="Arial" w:cs="Arial"/>
        </w:rPr>
        <w:t>.</w:t>
      </w:r>
      <w:r w:rsidR="000F7B4E">
        <w:rPr>
          <w:rFonts w:ascii="Arial" w:hAnsi="Arial" w:cs="Arial"/>
        </w:rPr>
        <w:t xml:space="preserve"> </w:t>
      </w:r>
      <w:r w:rsidR="00C07904" w:rsidRPr="00AD142C">
        <w:rPr>
          <w:rFonts w:ascii="Arial" w:hAnsi="Arial" w:cs="Arial"/>
          <w:b/>
          <w:bCs/>
        </w:rPr>
        <w:t>ALERT-ME</w:t>
      </w:r>
      <w:r w:rsidR="00C07904">
        <w:rPr>
          <w:rFonts w:ascii="Arial" w:hAnsi="Arial" w:cs="Arial"/>
          <w:b/>
          <w:bCs/>
        </w:rPr>
        <w:t xml:space="preserve">: </w:t>
      </w:r>
      <w:r w:rsidR="00AE74E3" w:rsidRPr="000F7B4E">
        <w:rPr>
          <w:rFonts w:ascii="Arial" w:hAnsi="Arial" w:cs="Arial"/>
        </w:rPr>
        <w:t>Synthesise</w:t>
      </w:r>
      <w:r w:rsidR="00AE74E3">
        <w:rPr>
          <w:rFonts w:ascii="Arial" w:hAnsi="Arial" w:cs="Arial"/>
        </w:rPr>
        <w:t>s</w:t>
      </w:r>
      <w:r w:rsidR="00AE74E3" w:rsidRPr="000F7B4E">
        <w:rPr>
          <w:rFonts w:ascii="Arial" w:hAnsi="Arial" w:cs="Arial"/>
        </w:rPr>
        <w:t xml:space="preserve"> </w:t>
      </w:r>
      <w:r w:rsidR="00AE74E3">
        <w:rPr>
          <w:rFonts w:ascii="Arial" w:hAnsi="Arial" w:cs="Arial"/>
        </w:rPr>
        <w:t>environmental data</w:t>
      </w:r>
      <w:r w:rsidR="00AE74E3" w:rsidRPr="000F7B4E">
        <w:rPr>
          <w:rFonts w:ascii="Arial" w:hAnsi="Arial" w:cs="Arial"/>
        </w:rPr>
        <w:t xml:space="preserve"> (</w:t>
      </w:r>
      <w:r w:rsidR="0004791C">
        <w:rPr>
          <w:rFonts w:ascii="Arial" w:hAnsi="Arial" w:cs="Arial"/>
        </w:rPr>
        <w:t xml:space="preserve">e.g., </w:t>
      </w:r>
      <w:r w:rsidR="00AE74E3" w:rsidRPr="000F7B4E">
        <w:rPr>
          <w:rFonts w:ascii="Arial" w:hAnsi="Arial" w:cs="Arial"/>
        </w:rPr>
        <w:t>UV, NO</w:t>
      </w:r>
      <w:r w:rsidR="00AE74E3">
        <w:rPr>
          <w:rFonts w:ascii="Arial" w:hAnsi="Arial" w:cs="Arial"/>
          <w:vertAlign w:val="subscript"/>
        </w:rPr>
        <w:t>x</w:t>
      </w:r>
      <w:r w:rsidR="00AE74E3">
        <w:rPr>
          <w:rFonts w:ascii="Arial" w:hAnsi="Arial" w:cs="Arial"/>
        </w:rPr>
        <w:t xml:space="preserve">, </w:t>
      </w:r>
      <w:r w:rsidR="00AE74E3" w:rsidRPr="000F7B4E">
        <w:rPr>
          <w:rFonts w:ascii="Arial" w:hAnsi="Arial" w:cs="Arial"/>
        </w:rPr>
        <w:t>CH</w:t>
      </w:r>
      <w:r w:rsidR="00AE74E3">
        <w:rPr>
          <w:rFonts w:ascii="Arial" w:hAnsi="Arial" w:cs="Arial"/>
          <w:vertAlign w:val="subscript"/>
        </w:rPr>
        <w:t>4</w:t>
      </w:r>
      <w:r w:rsidR="00AE74E3">
        <w:rPr>
          <w:rFonts w:ascii="Arial" w:hAnsi="Arial" w:cs="Arial"/>
        </w:rPr>
        <w:t>,</w:t>
      </w:r>
      <w:r w:rsidR="00AE74E3" w:rsidRPr="00CB5E0E">
        <w:rPr>
          <w:rFonts w:ascii="Arial" w:hAnsi="Arial" w:cs="Arial"/>
        </w:rPr>
        <w:t>)</w:t>
      </w:r>
      <w:r w:rsidR="00AE74E3" w:rsidRPr="000F7B4E">
        <w:rPr>
          <w:rFonts w:ascii="Arial" w:hAnsi="Arial" w:cs="Arial"/>
        </w:rPr>
        <w:t xml:space="preserve"> to </w:t>
      </w:r>
      <w:r w:rsidR="00AE74E3" w:rsidRPr="006A353D">
        <w:rPr>
          <w:rFonts w:ascii="Arial" w:hAnsi="Arial" w:cs="Arial"/>
        </w:rPr>
        <w:t>predict moderate and high-risk environmental conditions</w:t>
      </w:r>
      <w:r w:rsidR="00AE74E3" w:rsidRPr="006415A3">
        <w:rPr>
          <w:rFonts w:ascii="Arial" w:hAnsi="Arial" w:cs="Arial"/>
          <w:b/>
          <w:bCs/>
          <w:i/>
          <w:iCs/>
        </w:rPr>
        <w:t xml:space="preserve"> </w:t>
      </w:r>
      <w:r w:rsidR="00AE74E3" w:rsidRPr="006069FE">
        <w:rPr>
          <w:rFonts w:ascii="Arial" w:hAnsi="Arial" w:cs="Arial"/>
        </w:rPr>
        <w:t>that might trigger respiratory and mental health emergencies</w:t>
      </w:r>
      <w:r w:rsidR="00AE74E3">
        <w:rPr>
          <w:rFonts w:ascii="Arial" w:hAnsi="Arial" w:cs="Arial"/>
        </w:rPr>
        <w:t xml:space="preserve"> to alert users. Deep learning</w:t>
      </w:r>
      <w:r w:rsidR="00F722C9">
        <w:rPr>
          <w:rFonts w:ascii="Arial" w:hAnsi="Arial" w:cs="Arial"/>
        </w:rPr>
        <w:t xml:space="preserve"> (DL)</w:t>
      </w:r>
      <w:r w:rsidR="00FE23D1">
        <w:rPr>
          <w:rFonts w:ascii="Arial" w:hAnsi="Arial" w:cs="Arial"/>
        </w:rPr>
        <w:t xml:space="preserve"> </w:t>
      </w:r>
      <w:r w:rsidR="00AE74E3">
        <w:rPr>
          <w:rFonts w:ascii="Arial" w:hAnsi="Arial" w:cs="Arial"/>
        </w:rPr>
        <w:t>will be used to train the</w:t>
      </w:r>
      <w:r w:rsidR="002875FF">
        <w:rPr>
          <w:rFonts w:ascii="Arial" w:hAnsi="Arial" w:cs="Arial"/>
        </w:rPr>
        <w:t xml:space="preserve"> predictive</w:t>
      </w:r>
      <w:r w:rsidR="00E9033B">
        <w:rPr>
          <w:rFonts w:ascii="Arial" w:hAnsi="Arial" w:cs="Arial"/>
        </w:rPr>
        <w:t xml:space="preserve"> ‘early warning’</w:t>
      </w:r>
      <w:r w:rsidR="00AE74E3">
        <w:rPr>
          <w:rFonts w:ascii="Arial" w:hAnsi="Arial" w:cs="Arial"/>
        </w:rPr>
        <w:t xml:space="preserve"> model based on daily </w:t>
      </w:r>
      <w:r w:rsidR="007C470D">
        <w:rPr>
          <w:rFonts w:ascii="Arial" w:hAnsi="Arial" w:cs="Arial"/>
        </w:rPr>
        <w:t>environmental</w:t>
      </w:r>
      <w:r w:rsidR="0004791C" w:rsidRPr="000F7B4E">
        <w:rPr>
          <w:rFonts w:ascii="Arial" w:hAnsi="Arial" w:cs="Arial"/>
        </w:rPr>
        <w:t xml:space="preserve"> </w:t>
      </w:r>
      <w:r w:rsidR="0004791C">
        <w:rPr>
          <w:rFonts w:ascii="Arial" w:hAnsi="Arial" w:cs="Arial"/>
        </w:rPr>
        <w:t xml:space="preserve">and health </w:t>
      </w:r>
      <w:r w:rsidR="00AE74E3">
        <w:rPr>
          <w:rFonts w:ascii="Arial" w:hAnsi="Arial" w:cs="Arial"/>
        </w:rPr>
        <w:t>data</w:t>
      </w:r>
      <w:r w:rsidR="00802C81">
        <w:rPr>
          <w:rFonts w:ascii="Arial" w:hAnsi="Arial" w:cs="Arial"/>
        </w:rPr>
        <w:t xml:space="preserve"> </w:t>
      </w:r>
      <w:r w:rsidR="0004791C">
        <w:rPr>
          <w:rFonts w:ascii="Arial" w:hAnsi="Arial" w:cs="Arial"/>
        </w:rPr>
        <w:t xml:space="preserve">(e.g., numbers of hospital admissions) </w:t>
      </w:r>
      <w:r w:rsidR="00802C81">
        <w:rPr>
          <w:rFonts w:ascii="Arial" w:hAnsi="Arial" w:cs="Arial"/>
        </w:rPr>
        <w:t>over time</w:t>
      </w:r>
      <w:r w:rsidR="00AE74E3">
        <w:rPr>
          <w:rFonts w:ascii="Arial" w:hAnsi="Arial" w:cs="Arial"/>
        </w:rPr>
        <w:t xml:space="preserve">. </w:t>
      </w:r>
      <w:r w:rsidR="00896D61">
        <w:rPr>
          <w:rFonts w:ascii="Arial" w:hAnsi="Arial" w:cs="Arial"/>
        </w:rPr>
        <w:t>The interface allows users to create a personal health profile (MY PROFILE) and a clinical profile (CLINIC CONNECT). MY PROFILE includes uploading geospatial</w:t>
      </w:r>
      <w:r w:rsidR="00DD6EBA">
        <w:rPr>
          <w:rFonts w:ascii="Arial" w:hAnsi="Arial" w:cs="Arial"/>
        </w:rPr>
        <w:t xml:space="preserve"> data</w:t>
      </w:r>
      <w:r w:rsidR="00896D61">
        <w:rPr>
          <w:rFonts w:ascii="Arial" w:hAnsi="Arial" w:cs="Arial"/>
        </w:rPr>
        <w:t xml:space="preserve"> and health </w:t>
      </w:r>
      <w:r w:rsidR="00096ACF">
        <w:rPr>
          <w:rFonts w:ascii="Arial" w:hAnsi="Arial" w:cs="Arial"/>
        </w:rPr>
        <w:t>hi</w:t>
      </w:r>
      <w:r w:rsidR="00E76F2A">
        <w:rPr>
          <w:rFonts w:ascii="Arial" w:hAnsi="Arial" w:cs="Arial"/>
        </w:rPr>
        <w:t>s</w:t>
      </w:r>
      <w:r w:rsidR="00096ACF">
        <w:rPr>
          <w:rFonts w:ascii="Arial" w:hAnsi="Arial" w:cs="Arial"/>
        </w:rPr>
        <w:t>tory</w:t>
      </w:r>
      <w:r w:rsidR="00896D61">
        <w:rPr>
          <w:rFonts w:ascii="Arial" w:hAnsi="Arial" w:cs="Arial"/>
        </w:rPr>
        <w:t xml:space="preserve"> to inform personalised ozone risk alerts. CLINIC CONNECT allows health services to receive regional alerts and to report data to inform patient alerts (e.g., number of beds available). </w:t>
      </w:r>
    </w:p>
    <w:p w14:paraId="60D912A4" w14:textId="54F74E0B" w:rsidR="00DA386F" w:rsidRDefault="00DA386F" w:rsidP="00C177C6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</w:rPr>
        <w:tab/>
        <w:t xml:space="preserve">2. </w:t>
      </w:r>
      <w:r>
        <w:rPr>
          <w:rFonts w:ascii="Arial" w:hAnsi="Arial" w:cs="Arial"/>
          <w:b/>
        </w:rPr>
        <w:t>REPORT CH4NGE:</w:t>
      </w:r>
      <w:r>
        <w:rPr>
          <w:rFonts w:ascii="Arial" w:hAnsi="Arial" w:cs="Arial"/>
          <w:bCs/>
        </w:rPr>
        <w:t xml:space="preserve"> </w:t>
      </w:r>
      <w:r w:rsidR="00A87588">
        <w:rPr>
          <w:rFonts w:ascii="Arial" w:hAnsi="Arial" w:cs="Arial"/>
          <w:bCs/>
        </w:rPr>
        <w:t xml:space="preserve">Live-updates </w:t>
      </w:r>
      <w:r w:rsidR="00DD53C1">
        <w:rPr>
          <w:rFonts w:ascii="Arial" w:hAnsi="Arial" w:cs="Arial"/>
          <w:bCs/>
        </w:rPr>
        <w:t xml:space="preserve">to </w:t>
      </w:r>
      <w:r w:rsidR="000739E5">
        <w:rPr>
          <w:rFonts w:ascii="Arial" w:hAnsi="Arial" w:cs="Arial"/>
          <w:bCs/>
        </w:rPr>
        <w:t xml:space="preserve">a basemap layer recording citizen </w:t>
      </w:r>
      <w:proofErr w:type="gramStart"/>
      <w:r w:rsidR="000739E5">
        <w:rPr>
          <w:rFonts w:ascii="Arial" w:hAnsi="Arial" w:cs="Arial"/>
          <w:bCs/>
        </w:rPr>
        <w:t>health</w:t>
      </w:r>
      <w:r w:rsidR="000C376C">
        <w:rPr>
          <w:rFonts w:ascii="Arial" w:hAnsi="Arial" w:cs="Arial"/>
          <w:bCs/>
        </w:rPr>
        <w:t xml:space="preserve"> </w:t>
      </w:r>
      <w:r w:rsidR="000739E5">
        <w:rPr>
          <w:rFonts w:ascii="Arial" w:hAnsi="Arial" w:cs="Arial"/>
          <w:bCs/>
        </w:rPr>
        <w:t>symptom</w:t>
      </w:r>
      <w:r w:rsidR="004A308E">
        <w:rPr>
          <w:rFonts w:ascii="Arial" w:hAnsi="Arial" w:cs="Arial"/>
          <w:bCs/>
        </w:rPr>
        <w:t>s</w:t>
      </w:r>
      <w:proofErr w:type="gramEnd"/>
      <w:r w:rsidR="00F722C9">
        <w:rPr>
          <w:rFonts w:ascii="Arial" w:hAnsi="Arial" w:cs="Arial"/>
          <w:bCs/>
        </w:rPr>
        <w:t>, service accessibility,</w:t>
      </w:r>
      <w:r w:rsidR="000739E5">
        <w:rPr>
          <w:rFonts w:ascii="Arial" w:hAnsi="Arial" w:cs="Arial"/>
          <w:bCs/>
        </w:rPr>
        <w:t xml:space="preserve"> and on-ground CH</w:t>
      </w:r>
      <w:r w:rsidR="000739E5">
        <w:rPr>
          <w:rFonts w:ascii="Arial" w:hAnsi="Arial" w:cs="Arial"/>
          <w:bCs/>
          <w:vertAlign w:val="subscript"/>
        </w:rPr>
        <w:t>4</w:t>
      </w:r>
      <w:r w:rsidR="00535D60">
        <w:rPr>
          <w:rFonts w:ascii="Arial" w:hAnsi="Arial" w:cs="Arial"/>
          <w:bCs/>
          <w:vertAlign w:val="subscript"/>
        </w:rPr>
        <w:t xml:space="preserve"> </w:t>
      </w:r>
      <w:r w:rsidR="00535D60">
        <w:rPr>
          <w:rFonts w:ascii="Arial" w:hAnsi="Arial" w:cs="Arial"/>
          <w:bCs/>
        </w:rPr>
        <w:t>and O</w:t>
      </w:r>
      <w:r w:rsidR="00535D60">
        <w:rPr>
          <w:rFonts w:ascii="Arial" w:hAnsi="Arial" w:cs="Arial"/>
          <w:bCs/>
          <w:vertAlign w:val="subscript"/>
        </w:rPr>
        <w:t>3</w:t>
      </w:r>
      <w:r w:rsidR="00535D60">
        <w:rPr>
          <w:rFonts w:ascii="Arial" w:hAnsi="Arial" w:cs="Arial"/>
          <w:bCs/>
        </w:rPr>
        <w:t xml:space="preserve"> concentrations</w:t>
      </w:r>
      <w:r w:rsidR="000739E5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to encourage citizen science</w:t>
      </w:r>
      <w:r w:rsidR="007E43E7">
        <w:rPr>
          <w:rFonts w:ascii="Arial" w:hAnsi="Arial" w:cs="Arial"/>
          <w:bCs/>
        </w:rPr>
        <w:t>, capture lived experience,</w:t>
      </w:r>
      <w:r w:rsidR="000C2FEE">
        <w:rPr>
          <w:rFonts w:ascii="Arial" w:hAnsi="Arial" w:cs="Arial"/>
          <w:bCs/>
        </w:rPr>
        <w:t xml:space="preserve"> and improve perceptions of data trustworthiness</w:t>
      </w:r>
      <w:r w:rsidR="00535D60">
        <w:rPr>
          <w:rFonts w:ascii="Arial" w:hAnsi="Arial" w:cs="Arial"/>
          <w:bCs/>
        </w:rPr>
        <w:t xml:space="preserve">. </w:t>
      </w:r>
      <w:r w:rsidR="00F722C9">
        <w:rPr>
          <w:rFonts w:ascii="Arial" w:hAnsi="Arial" w:cs="Arial"/>
          <w:bCs/>
        </w:rPr>
        <w:t>Data will inform D</w:t>
      </w:r>
      <w:r w:rsidR="00102480">
        <w:rPr>
          <w:rFonts w:ascii="Arial" w:hAnsi="Arial" w:cs="Arial"/>
          <w:bCs/>
        </w:rPr>
        <w:t xml:space="preserve">eep </w:t>
      </w:r>
      <w:r w:rsidR="00F722C9">
        <w:rPr>
          <w:rFonts w:ascii="Arial" w:hAnsi="Arial" w:cs="Arial"/>
          <w:bCs/>
        </w:rPr>
        <w:t>L</w:t>
      </w:r>
      <w:r w:rsidR="00102480">
        <w:rPr>
          <w:rFonts w:ascii="Arial" w:hAnsi="Arial" w:cs="Arial"/>
          <w:bCs/>
        </w:rPr>
        <w:t>earning</w:t>
      </w:r>
      <w:r w:rsidR="00F722C9">
        <w:rPr>
          <w:rFonts w:ascii="Arial" w:hAnsi="Arial" w:cs="Arial"/>
          <w:bCs/>
        </w:rPr>
        <w:t>.</w:t>
      </w:r>
    </w:p>
    <w:p w14:paraId="18BC6BF6" w14:textId="316C914C" w:rsidR="00BE01A8" w:rsidRPr="00F1424E" w:rsidRDefault="00BE01A8" w:rsidP="7091ED7B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 w:rsidRPr="7091ED7B">
        <w:rPr>
          <w:rFonts w:ascii="Arial" w:hAnsi="Arial" w:cs="Arial"/>
        </w:rPr>
        <w:t xml:space="preserve">3. </w:t>
      </w:r>
      <w:r w:rsidRPr="7091ED7B">
        <w:rPr>
          <w:rFonts w:ascii="Arial" w:hAnsi="Arial" w:cs="Arial"/>
          <w:b/>
          <w:bCs/>
        </w:rPr>
        <w:t>CORPORATE RESPONSIBILITY:</w:t>
      </w:r>
      <w:r w:rsidR="008A1187" w:rsidRPr="7091ED7B">
        <w:rPr>
          <w:rFonts w:ascii="Arial" w:hAnsi="Arial" w:cs="Arial"/>
        </w:rPr>
        <w:t xml:space="preserve"> Corporations can report </w:t>
      </w:r>
      <w:r w:rsidR="00F802F2" w:rsidRPr="7091ED7B">
        <w:rPr>
          <w:rFonts w:ascii="Arial" w:hAnsi="Arial" w:cs="Arial"/>
        </w:rPr>
        <w:t xml:space="preserve">flares </w:t>
      </w:r>
      <w:r w:rsidR="008A1187" w:rsidRPr="7091ED7B">
        <w:rPr>
          <w:rFonts w:ascii="Arial" w:hAnsi="Arial" w:cs="Arial"/>
        </w:rPr>
        <w:t>and leaks</w:t>
      </w:r>
      <w:r w:rsidR="004A172F">
        <w:rPr>
          <w:rFonts w:ascii="Arial" w:hAnsi="Arial" w:cs="Arial"/>
        </w:rPr>
        <w:t xml:space="preserve"> and opt-in to </w:t>
      </w:r>
      <w:r w:rsidR="00BB4BCF">
        <w:rPr>
          <w:rFonts w:ascii="Arial" w:hAnsi="Arial" w:cs="Arial"/>
        </w:rPr>
        <w:t xml:space="preserve">transparency </w:t>
      </w:r>
      <w:r w:rsidR="00C87B5A">
        <w:rPr>
          <w:rFonts w:ascii="Arial" w:hAnsi="Arial" w:cs="Arial"/>
        </w:rPr>
        <w:t>features (e.g., Twitter</w:t>
      </w:r>
      <w:r w:rsidR="00DD4B8E">
        <w:rPr>
          <w:rFonts w:ascii="Arial" w:hAnsi="Arial" w:cs="Arial"/>
        </w:rPr>
        <w:t xml:space="preserve"> updates)</w:t>
      </w:r>
      <w:r w:rsidR="008A1187" w:rsidRPr="7091ED7B">
        <w:rPr>
          <w:rFonts w:ascii="Arial" w:hAnsi="Arial" w:cs="Arial"/>
        </w:rPr>
        <w:t xml:space="preserve"> (</w:t>
      </w:r>
      <w:r w:rsidR="00764B50" w:rsidRPr="7091ED7B">
        <w:rPr>
          <w:rFonts w:ascii="Arial" w:hAnsi="Arial" w:cs="Arial"/>
        </w:rPr>
        <w:t>REPORT YOUR OSHA</w:t>
      </w:r>
      <w:r w:rsidR="004A4587" w:rsidRPr="7091ED7B">
        <w:rPr>
          <w:rFonts w:ascii="Arial" w:hAnsi="Arial" w:cs="Arial"/>
        </w:rPr>
        <w:t xml:space="preserve"> VIOLATION), with an option for anonymous reporting (GRASS UP YOUR BOSS). </w:t>
      </w:r>
      <w:r w:rsidR="00C4450B" w:rsidRPr="7091ED7B">
        <w:rPr>
          <w:rFonts w:ascii="Arial" w:hAnsi="Arial" w:cs="Arial"/>
        </w:rPr>
        <w:t>Geocoded readings will live-update on the basemap to facilitate lobbying</w:t>
      </w:r>
      <w:r w:rsidR="005D1BDF" w:rsidRPr="7091ED7B">
        <w:rPr>
          <w:rFonts w:ascii="Arial" w:hAnsi="Arial" w:cs="Arial"/>
        </w:rPr>
        <w:t>.</w:t>
      </w:r>
    </w:p>
    <w:p w14:paraId="5FF21094" w14:textId="1B675A39" w:rsidR="00EC1E77" w:rsidRDefault="000C2FEE" w:rsidP="00C177C6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ab/>
      </w:r>
      <w:r w:rsidR="00BE01A8">
        <w:rPr>
          <w:rFonts w:ascii="Arial" w:hAnsi="Arial" w:cs="Arial"/>
          <w:bCs/>
        </w:rPr>
        <w:t xml:space="preserve">4. </w:t>
      </w:r>
      <w:r w:rsidR="00DF02C6">
        <w:rPr>
          <w:rFonts w:ascii="Arial" w:hAnsi="Arial" w:cs="Arial"/>
          <w:b/>
        </w:rPr>
        <w:t>EXPLORE AND LEARN</w:t>
      </w:r>
      <w:r>
        <w:rPr>
          <w:rFonts w:ascii="Arial" w:hAnsi="Arial" w:cs="Arial"/>
          <w:b/>
        </w:rPr>
        <w:t>:</w:t>
      </w:r>
      <w:r>
        <w:rPr>
          <w:rFonts w:ascii="Arial" w:hAnsi="Arial" w:cs="Arial"/>
          <w:bCs/>
        </w:rPr>
        <w:t xml:space="preserve"> </w:t>
      </w:r>
      <w:r w:rsidR="006007D0">
        <w:rPr>
          <w:rFonts w:ascii="Arial" w:hAnsi="Arial" w:cs="Arial"/>
          <w:bCs/>
        </w:rPr>
        <w:t xml:space="preserve">Interactive </w:t>
      </w:r>
      <w:r w:rsidR="00DD4B8E" w:rsidRPr="00DD4B8E">
        <w:rPr>
          <w:rFonts w:ascii="Arial" w:hAnsi="Arial" w:cs="Arial"/>
          <w:b/>
        </w:rPr>
        <w:t xml:space="preserve">dashboard </w:t>
      </w:r>
      <w:r w:rsidR="00DD4B8E">
        <w:rPr>
          <w:rFonts w:ascii="Arial" w:hAnsi="Arial" w:cs="Arial"/>
          <w:bCs/>
        </w:rPr>
        <w:t xml:space="preserve">with </w:t>
      </w:r>
      <w:r w:rsidR="006007D0">
        <w:rPr>
          <w:rFonts w:ascii="Arial" w:hAnsi="Arial" w:cs="Arial"/>
          <w:bCs/>
        </w:rPr>
        <w:t xml:space="preserve">map layers utilising </w:t>
      </w:r>
      <w:r w:rsidR="000F7B4E" w:rsidRPr="000F7B4E">
        <w:rPr>
          <w:rFonts w:ascii="Arial" w:hAnsi="Arial" w:cs="Arial"/>
        </w:rPr>
        <w:t xml:space="preserve">existing data to </w:t>
      </w:r>
      <w:r w:rsidR="000F7B4E" w:rsidRPr="00F0250D">
        <w:rPr>
          <w:rFonts w:ascii="Arial" w:hAnsi="Arial" w:cs="Arial"/>
        </w:rPr>
        <w:t>understand links between health outcomes and methane emissions</w:t>
      </w:r>
      <w:r w:rsidR="006007D0">
        <w:rPr>
          <w:rFonts w:ascii="Arial" w:hAnsi="Arial" w:cs="Arial"/>
        </w:rPr>
        <w:t xml:space="preserve"> </w:t>
      </w:r>
      <w:r w:rsidR="000F7B4E" w:rsidRPr="000F7B4E">
        <w:rPr>
          <w:rFonts w:ascii="Arial" w:hAnsi="Arial" w:cs="Arial"/>
        </w:rPr>
        <w:t>relat</w:t>
      </w:r>
      <w:r w:rsidR="005C76BB">
        <w:rPr>
          <w:rFonts w:ascii="Arial" w:hAnsi="Arial" w:cs="Arial"/>
        </w:rPr>
        <w:t>ed</w:t>
      </w:r>
      <w:r w:rsidR="000F7B4E" w:rsidRPr="000F7B4E">
        <w:rPr>
          <w:rFonts w:ascii="Arial" w:hAnsi="Arial" w:cs="Arial"/>
        </w:rPr>
        <w:t xml:space="preserve"> to the role of methane</w:t>
      </w:r>
      <w:r w:rsidR="00EC1E77">
        <w:rPr>
          <w:rFonts w:ascii="Arial" w:hAnsi="Arial" w:cs="Arial"/>
        </w:rPr>
        <w:t xml:space="preserve"> independently, and</w:t>
      </w:r>
      <w:r w:rsidR="000F7B4E" w:rsidRPr="000F7B4E">
        <w:rPr>
          <w:rFonts w:ascii="Arial" w:hAnsi="Arial" w:cs="Arial"/>
        </w:rPr>
        <w:t xml:space="preserve"> as a key precursor of on</w:t>
      </w:r>
      <w:r w:rsidR="005C76BB">
        <w:rPr>
          <w:rFonts w:ascii="Arial" w:hAnsi="Arial" w:cs="Arial"/>
        </w:rPr>
        <w:t>-</w:t>
      </w:r>
      <w:r w:rsidR="000F7B4E" w:rsidRPr="000F7B4E">
        <w:rPr>
          <w:rFonts w:ascii="Arial" w:hAnsi="Arial" w:cs="Arial"/>
        </w:rPr>
        <w:t xml:space="preserve">ground ozone, </w:t>
      </w:r>
      <w:r w:rsidR="005C76BB">
        <w:rPr>
          <w:rFonts w:ascii="Arial" w:hAnsi="Arial" w:cs="Arial"/>
        </w:rPr>
        <w:t>for</w:t>
      </w:r>
      <w:r w:rsidR="00EC1E77">
        <w:rPr>
          <w:rFonts w:ascii="Arial" w:hAnsi="Arial" w:cs="Arial"/>
        </w:rPr>
        <w:t xml:space="preserve"> individual </w:t>
      </w:r>
      <w:r w:rsidR="006069FE">
        <w:rPr>
          <w:rFonts w:ascii="Arial" w:hAnsi="Arial" w:cs="Arial"/>
        </w:rPr>
        <w:t xml:space="preserve">health </w:t>
      </w:r>
      <w:r w:rsidR="000F7B4E" w:rsidRPr="000F7B4E">
        <w:rPr>
          <w:rFonts w:ascii="Arial" w:hAnsi="Arial" w:cs="Arial"/>
        </w:rPr>
        <w:t>conditions and physical</w:t>
      </w:r>
      <w:r w:rsidR="002C5604">
        <w:rPr>
          <w:rFonts w:ascii="Arial" w:hAnsi="Arial" w:cs="Arial"/>
        </w:rPr>
        <w:t>-</w:t>
      </w:r>
      <w:r w:rsidR="000F7B4E" w:rsidRPr="000F7B4E">
        <w:rPr>
          <w:rFonts w:ascii="Arial" w:hAnsi="Arial" w:cs="Arial"/>
        </w:rPr>
        <w:t>mental multi-morbidity</w:t>
      </w:r>
      <w:r w:rsidR="00C177C6">
        <w:rPr>
          <w:rFonts w:ascii="Arial" w:hAnsi="Arial" w:cs="Arial"/>
        </w:rPr>
        <w:t>.</w:t>
      </w:r>
    </w:p>
    <w:p w14:paraId="166C4F98" w14:textId="31A96716" w:rsidR="005D1BDF" w:rsidRPr="00E76548" w:rsidRDefault="005D1BDF" w:rsidP="00C177C6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 </w:t>
      </w:r>
      <w:r w:rsidR="00317B48">
        <w:rPr>
          <w:rFonts w:ascii="Arial" w:hAnsi="Arial" w:cs="Arial"/>
          <w:b/>
          <w:bCs/>
        </w:rPr>
        <w:t>OUR DATA:</w:t>
      </w:r>
      <w:r>
        <w:rPr>
          <w:rFonts w:ascii="Arial" w:hAnsi="Arial" w:cs="Arial"/>
        </w:rPr>
        <w:t xml:space="preserve"> </w:t>
      </w:r>
      <w:r w:rsidR="00E76548">
        <w:rPr>
          <w:rFonts w:ascii="Arial" w:hAnsi="Arial" w:cs="Arial"/>
        </w:rPr>
        <w:t>S</w:t>
      </w:r>
      <w:r w:rsidR="00FA4399">
        <w:rPr>
          <w:rFonts w:ascii="Arial" w:hAnsi="Arial" w:cs="Arial"/>
        </w:rPr>
        <w:t>umma</w:t>
      </w:r>
      <w:r w:rsidR="00E76548">
        <w:rPr>
          <w:rFonts w:ascii="Arial" w:hAnsi="Arial" w:cs="Arial"/>
        </w:rPr>
        <w:t xml:space="preserve">rises </w:t>
      </w:r>
      <w:r w:rsidR="00FA4399">
        <w:rPr>
          <w:rFonts w:ascii="Arial" w:hAnsi="Arial" w:cs="Arial"/>
        </w:rPr>
        <w:t>how data are used to generate alerts</w:t>
      </w:r>
      <w:r w:rsidR="00062620">
        <w:rPr>
          <w:rFonts w:ascii="Arial" w:hAnsi="Arial" w:cs="Arial"/>
        </w:rPr>
        <w:t xml:space="preserve"> and data sources. </w:t>
      </w:r>
      <w:r w:rsidR="00D81C00">
        <w:rPr>
          <w:rFonts w:ascii="Arial" w:hAnsi="Arial" w:cs="Arial"/>
        </w:rPr>
        <w:t>Includes schematic about links between CH</w:t>
      </w:r>
      <w:r w:rsidR="00D81C00">
        <w:rPr>
          <w:rFonts w:ascii="Arial" w:hAnsi="Arial" w:cs="Arial"/>
          <w:vertAlign w:val="subscript"/>
        </w:rPr>
        <w:t>4</w:t>
      </w:r>
      <w:r w:rsidR="00D81C00">
        <w:rPr>
          <w:rFonts w:ascii="Arial" w:hAnsi="Arial" w:cs="Arial"/>
        </w:rPr>
        <w:t xml:space="preserve"> and</w:t>
      </w:r>
      <w:r w:rsidR="00E76548">
        <w:rPr>
          <w:rFonts w:ascii="Arial" w:hAnsi="Arial" w:cs="Arial"/>
        </w:rPr>
        <w:t xml:space="preserve"> O</w:t>
      </w:r>
      <w:r w:rsidR="00E76548">
        <w:rPr>
          <w:rFonts w:ascii="Arial" w:hAnsi="Arial" w:cs="Arial"/>
          <w:vertAlign w:val="subscript"/>
        </w:rPr>
        <w:t>3</w:t>
      </w:r>
      <w:r w:rsidR="00E76548">
        <w:rPr>
          <w:rFonts w:ascii="Arial" w:hAnsi="Arial" w:cs="Arial"/>
        </w:rPr>
        <w:t xml:space="preserve"> (The Perfect Storm</w:t>
      </w:r>
      <w:r w:rsidR="00732C73">
        <w:rPr>
          <w:rFonts w:ascii="Arial" w:hAnsi="Arial" w:cs="Arial"/>
        </w:rPr>
        <w:t xml:space="preserve"> schematic</w:t>
      </w:r>
      <w:r w:rsidR="00E76548">
        <w:rPr>
          <w:rFonts w:ascii="Arial" w:hAnsi="Arial" w:cs="Arial"/>
        </w:rPr>
        <w:t>).</w:t>
      </w:r>
    </w:p>
    <w:p w14:paraId="5335A213" w14:textId="77777777" w:rsidR="007C144B" w:rsidRDefault="007C144B" w:rsidP="009B736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DA9090" w14:textId="72A230C3" w:rsidR="00C63001" w:rsidRPr="009B736E" w:rsidRDefault="00D954C0" w:rsidP="009B73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9B736E">
        <w:rPr>
          <w:rFonts w:ascii="Arial" w:hAnsi="Arial" w:cs="Arial"/>
          <w:b/>
          <w:bCs/>
          <w:sz w:val="24"/>
          <w:szCs w:val="24"/>
        </w:rPr>
        <w:lastRenderedPageBreak/>
        <w:t>Future research plans</w:t>
      </w:r>
    </w:p>
    <w:p w14:paraId="0B5ECAB7" w14:textId="0A8744E1" w:rsidR="00C63001" w:rsidRPr="00152AF2" w:rsidRDefault="00FC30FE" w:rsidP="005D1BD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63001" w:rsidRPr="009B736E">
        <w:rPr>
          <w:rFonts w:ascii="Arial" w:hAnsi="Arial" w:cs="Arial"/>
          <w:b/>
          <w:bCs/>
          <w:u w:val="single"/>
        </w:rPr>
        <w:t>Background:</w:t>
      </w:r>
      <w:r w:rsidR="00C63001" w:rsidRPr="00FC30FE">
        <w:rPr>
          <w:rFonts w:ascii="Arial" w:hAnsi="Arial" w:cs="Arial"/>
          <w:u w:val="single"/>
        </w:rPr>
        <w:t xml:space="preserve"> </w:t>
      </w:r>
      <w:r w:rsidR="00572DD1" w:rsidRPr="00D04CFC">
        <w:rPr>
          <w:rFonts w:ascii="Arial" w:hAnsi="Arial" w:cs="Arial"/>
        </w:rPr>
        <w:t xml:space="preserve">Understanding the </w:t>
      </w:r>
      <w:r w:rsidR="00073734" w:rsidRPr="00D04CFC">
        <w:rPr>
          <w:rFonts w:ascii="Arial" w:hAnsi="Arial" w:cs="Arial"/>
        </w:rPr>
        <w:t>intersectionality of</w:t>
      </w:r>
      <w:r w:rsidR="00572DD1" w:rsidRPr="00D04CFC">
        <w:rPr>
          <w:rFonts w:ascii="Arial" w:hAnsi="Arial" w:cs="Arial"/>
        </w:rPr>
        <w:t xml:space="preserve"> environmental conditions and health outcomes is</w:t>
      </w:r>
      <w:r w:rsidR="004A0432" w:rsidRPr="00D04CFC">
        <w:rPr>
          <w:rFonts w:ascii="Arial" w:hAnsi="Arial" w:cs="Arial"/>
        </w:rPr>
        <w:t xml:space="preserve"> often inhibited by data scarcity of one or more necessary </w:t>
      </w:r>
      <w:r w:rsidR="00001E7A" w:rsidRPr="00D04CFC">
        <w:rPr>
          <w:rFonts w:ascii="Arial" w:hAnsi="Arial" w:cs="Arial"/>
        </w:rPr>
        <w:t xml:space="preserve">variables, the challenges associated with synthesising data across multiple geospatial and temporal scales, and </w:t>
      </w:r>
      <w:r w:rsidR="00E213CA" w:rsidRPr="00D04CFC">
        <w:rPr>
          <w:rFonts w:ascii="Arial" w:hAnsi="Arial" w:cs="Arial"/>
        </w:rPr>
        <w:t xml:space="preserve">data quality. </w:t>
      </w:r>
      <w:r w:rsidR="0022049C" w:rsidRPr="00D04CFC">
        <w:rPr>
          <w:rFonts w:ascii="Arial" w:hAnsi="Arial" w:cs="Arial"/>
        </w:rPr>
        <w:t xml:space="preserve">Solutions to regional </w:t>
      </w:r>
      <w:r w:rsidR="00E84FE6" w:rsidRPr="00D04CFC">
        <w:rPr>
          <w:rFonts w:ascii="Arial" w:hAnsi="Arial" w:cs="Arial"/>
        </w:rPr>
        <w:t xml:space="preserve">environmental </w:t>
      </w:r>
      <w:r w:rsidR="0022049C" w:rsidRPr="00D04CFC">
        <w:rPr>
          <w:rFonts w:ascii="Arial" w:hAnsi="Arial" w:cs="Arial"/>
        </w:rPr>
        <w:t>data scarcity include</w:t>
      </w:r>
      <w:r w:rsidR="0022049C">
        <w:rPr>
          <w:rFonts w:ascii="Arial" w:hAnsi="Arial" w:cs="Arial"/>
        </w:rPr>
        <w:t xml:space="preserve"> global initiatives </w:t>
      </w:r>
      <w:r w:rsidR="006F6DD5">
        <w:rPr>
          <w:rFonts w:ascii="Arial" w:hAnsi="Arial" w:cs="Arial"/>
        </w:rPr>
        <w:t xml:space="preserve">to track methane </w:t>
      </w:r>
      <w:r w:rsidR="0022049C">
        <w:rPr>
          <w:rFonts w:ascii="Arial" w:hAnsi="Arial" w:cs="Arial"/>
        </w:rPr>
        <w:t xml:space="preserve">like </w:t>
      </w:r>
      <w:r w:rsidR="0083128A">
        <w:rPr>
          <w:rFonts w:ascii="Arial" w:hAnsi="Arial" w:cs="Arial"/>
        </w:rPr>
        <w:t>the Copernicus Open Access Hub</w:t>
      </w:r>
      <w:r w:rsidR="007024AA">
        <w:rPr>
          <w:rFonts w:ascii="Arial" w:hAnsi="Arial" w:cs="Arial"/>
        </w:rPr>
        <w:t xml:space="preserve"> and </w:t>
      </w:r>
      <w:r w:rsidR="0096682F">
        <w:rPr>
          <w:rFonts w:ascii="Arial" w:hAnsi="Arial" w:cs="Arial"/>
        </w:rPr>
        <w:t xml:space="preserve">the </w:t>
      </w:r>
      <w:r w:rsidR="007024AA">
        <w:rPr>
          <w:rFonts w:ascii="Arial" w:hAnsi="Arial" w:cs="Arial"/>
        </w:rPr>
        <w:t xml:space="preserve">UN’S MARs project (2024). </w:t>
      </w:r>
      <w:r w:rsidR="00B349F8">
        <w:rPr>
          <w:rFonts w:ascii="Arial" w:hAnsi="Arial" w:cs="Arial"/>
        </w:rPr>
        <w:t xml:space="preserve">Methane super-emitters </w:t>
      </w:r>
      <w:r w:rsidR="00491B85">
        <w:rPr>
          <w:rFonts w:ascii="Arial" w:hAnsi="Arial" w:cs="Arial"/>
        </w:rPr>
        <w:t xml:space="preserve">include </w:t>
      </w:r>
      <w:r w:rsidR="0027068E">
        <w:rPr>
          <w:rFonts w:ascii="Arial" w:hAnsi="Arial" w:cs="Arial"/>
        </w:rPr>
        <w:t xml:space="preserve">mining operations, agricultural activities, and waste processing and disposal. </w:t>
      </w:r>
      <w:r w:rsidR="000F4A3C">
        <w:rPr>
          <w:rFonts w:ascii="Arial" w:hAnsi="Arial" w:cs="Arial"/>
        </w:rPr>
        <w:t xml:space="preserve">Many </w:t>
      </w:r>
      <w:r w:rsidR="004E26ED">
        <w:rPr>
          <w:rFonts w:ascii="Arial" w:hAnsi="Arial" w:cs="Arial"/>
        </w:rPr>
        <w:t>super-emitters</w:t>
      </w:r>
      <w:r w:rsidR="000F4A3C">
        <w:rPr>
          <w:rFonts w:ascii="Arial" w:hAnsi="Arial" w:cs="Arial"/>
        </w:rPr>
        <w:t xml:space="preserve"> </w:t>
      </w:r>
      <w:proofErr w:type="gramStart"/>
      <w:r w:rsidR="000F4A3C">
        <w:rPr>
          <w:rFonts w:ascii="Arial" w:hAnsi="Arial" w:cs="Arial"/>
        </w:rPr>
        <w:t>are located in</w:t>
      </w:r>
      <w:proofErr w:type="gramEnd"/>
      <w:r w:rsidR="009645DB">
        <w:rPr>
          <w:rFonts w:ascii="Arial" w:hAnsi="Arial" w:cs="Arial"/>
        </w:rPr>
        <w:t xml:space="preserve"> </w:t>
      </w:r>
      <w:r w:rsidR="001014F6">
        <w:rPr>
          <w:rFonts w:ascii="Arial" w:hAnsi="Arial" w:cs="Arial"/>
        </w:rPr>
        <w:t>low- and middle-income</w:t>
      </w:r>
      <w:r w:rsidR="000F4A3C">
        <w:rPr>
          <w:rFonts w:ascii="Arial" w:hAnsi="Arial" w:cs="Arial"/>
        </w:rPr>
        <w:t xml:space="preserve"> regions</w:t>
      </w:r>
      <w:r w:rsidR="00F41213">
        <w:rPr>
          <w:rFonts w:ascii="Arial" w:hAnsi="Arial" w:cs="Arial"/>
        </w:rPr>
        <w:t>,</w:t>
      </w:r>
      <w:r w:rsidR="000F4A3C">
        <w:rPr>
          <w:rFonts w:ascii="Arial" w:hAnsi="Arial" w:cs="Arial"/>
        </w:rPr>
        <w:t xml:space="preserve"> </w:t>
      </w:r>
      <w:r w:rsidR="00F41213">
        <w:rPr>
          <w:rFonts w:ascii="Arial" w:hAnsi="Arial" w:cs="Arial"/>
        </w:rPr>
        <w:t xml:space="preserve">for example in </w:t>
      </w:r>
      <w:r w:rsidR="00F12B9D">
        <w:rPr>
          <w:rFonts w:ascii="Arial" w:hAnsi="Arial" w:cs="Arial"/>
        </w:rPr>
        <w:t>Asia and Africa</w:t>
      </w:r>
      <w:r w:rsidR="00F41213">
        <w:rPr>
          <w:rFonts w:ascii="Arial" w:hAnsi="Arial" w:cs="Arial"/>
        </w:rPr>
        <w:t>,</w:t>
      </w:r>
      <w:r w:rsidR="00F12B9D">
        <w:rPr>
          <w:rFonts w:ascii="Arial" w:hAnsi="Arial" w:cs="Arial"/>
        </w:rPr>
        <w:t xml:space="preserve"> </w:t>
      </w:r>
      <w:r w:rsidR="000F4A3C">
        <w:rPr>
          <w:rFonts w:ascii="Arial" w:hAnsi="Arial" w:cs="Arial"/>
        </w:rPr>
        <w:t>w</w:t>
      </w:r>
      <w:r w:rsidR="009645DB">
        <w:rPr>
          <w:rFonts w:ascii="Arial" w:hAnsi="Arial" w:cs="Arial"/>
        </w:rPr>
        <w:t xml:space="preserve">here corporations have few incentives to </w:t>
      </w:r>
      <w:r w:rsidR="00802DE9">
        <w:rPr>
          <w:rFonts w:ascii="Arial" w:hAnsi="Arial" w:cs="Arial"/>
        </w:rPr>
        <w:t xml:space="preserve">monitor and report emissions, leaks and flares. </w:t>
      </w:r>
      <w:r w:rsidR="00004287">
        <w:rPr>
          <w:rFonts w:ascii="Arial" w:hAnsi="Arial" w:cs="Arial"/>
        </w:rPr>
        <w:t xml:space="preserve">These are also regions where </w:t>
      </w:r>
      <w:r w:rsidR="006C3166">
        <w:rPr>
          <w:rFonts w:ascii="Arial" w:hAnsi="Arial" w:cs="Arial"/>
        </w:rPr>
        <w:t xml:space="preserve">individual patient health data </w:t>
      </w:r>
      <w:r w:rsidR="00F2576E">
        <w:rPr>
          <w:rFonts w:ascii="Arial" w:hAnsi="Arial" w:cs="Arial"/>
        </w:rPr>
        <w:t xml:space="preserve">are </w:t>
      </w:r>
      <w:r w:rsidR="00F12B9D">
        <w:rPr>
          <w:rFonts w:ascii="Arial" w:hAnsi="Arial" w:cs="Arial"/>
        </w:rPr>
        <w:t xml:space="preserve">often </w:t>
      </w:r>
      <w:r w:rsidR="006C3166">
        <w:rPr>
          <w:rFonts w:ascii="Arial" w:hAnsi="Arial" w:cs="Arial"/>
        </w:rPr>
        <w:t>difficult to access</w:t>
      </w:r>
      <w:r w:rsidR="001014F6">
        <w:rPr>
          <w:rFonts w:ascii="Arial" w:hAnsi="Arial" w:cs="Arial"/>
        </w:rPr>
        <w:t xml:space="preserve">. </w:t>
      </w:r>
      <w:r w:rsidR="00E971A1">
        <w:rPr>
          <w:rFonts w:ascii="Arial" w:hAnsi="Arial" w:cs="Arial"/>
        </w:rPr>
        <w:t xml:space="preserve">Solutions are needed </w:t>
      </w:r>
      <w:r w:rsidR="0003474A">
        <w:rPr>
          <w:rFonts w:ascii="Arial" w:hAnsi="Arial" w:cs="Arial"/>
        </w:rPr>
        <w:t xml:space="preserve">that transcend </w:t>
      </w:r>
      <w:r w:rsidR="00536ED7">
        <w:rPr>
          <w:rFonts w:ascii="Arial" w:hAnsi="Arial" w:cs="Arial"/>
        </w:rPr>
        <w:t xml:space="preserve">‘best case’ data availability and </w:t>
      </w:r>
      <w:r w:rsidR="0029257F">
        <w:rPr>
          <w:rFonts w:ascii="Arial" w:hAnsi="Arial" w:cs="Arial"/>
        </w:rPr>
        <w:t xml:space="preserve">are </w:t>
      </w:r>
      <w:r w:rsidR="003C25E9" w:rsidRPr="00152AF2">
        <w:rPr>
          <w:rFonts w:ascii="Arial" w:hAnsi="Arial" w:cs="Arial"/>
        </w:rPr>
        <w:t xml:space="preserve">elastic to </w:t>
      </w:r>
      <w:r w:rsidR="001E2D33" w:rsidRPr="00152AF2">
        <w:rPr>
          <w:rFonts w:ascii="Arial" w:hAnsi="Arial" w:cs="Arial"/>
        </w:rPr>
        <w:t xml:space="preserve">varying data quality. </w:t>
      </w:r>
      <w:r w:rsidR="00856270" w:rsidRPr="00152AF2">
        <w:rPr>
          <w:rFonts w:ascii="Arial" w:hAnsi="Arial" w:cs="Arial"/>
        </w:rPr>
        <w:t xml:space="preserve">Geographical </w:t>
      </w:r>
      <w:r w:rsidR="001875E6" w:rsidRPr="00152AF2">
        <w:rPr>
          <w:rFonts w:ascii="Arial" w:hAnsi="Arial" w:cs="Arial"/>
        </w:rPr>
        <w:t>and geospatial methods</w:t>
      </w:r>
      <w:r w:rsidR="00B954A0" w:rsidRPr="00152AF2">
        <w:rPr>
          <w:rFonts w:ascii="Arial" w:hAnsi="Arial" w:cs="Arial"/>
        </w:rPr>
        <w:t xml:space="preserve"> can </w:t>
      </w:r>
      <w:r w:rsidR="00922BDF" w:rsidRPr="00152AF2">
        <w:rPr>
          <w:rFonts w:ascii="Arial" w:hAnsi="Arial" w:cs="Arial"/>
        </w:rPr>
        <w:t xml:space="preserve">be used to </w:t>
      </w:r>
      <w:r w:rsidR="005D4DED" w:rsidRPr="00152AF2">
        <w:rPr>
          <w:rFonts w:ascii="Arial" w:hAnsi="Arial" w:cs="Arial"/>
        </w:rPr>
        <w:t xml:space="preserve">explore </w:t>
      </w:r>
      <w:r w:rsidR="008D19C4" w:rsidRPr="00152AF2">
        <w:rPr>
          <w:rFonts w:ascii="Arial" w:hAnsi="Arial" w:cs="Arial"/>
        </w:rPr>
        <w:t>relationships between messy datasets while maintaining data integrity (Moore et al., 2022).</w:t>
      </w:r>
    </w:p>
    <w:p w14:paraId="14D552E9" w14:textId="44B43BE1" w:rsidR="002742A4" w:rsidRPr="00152AF2" w:rsidRDefault="00FC30FE" w:rsidP="005D1BDF">
      <w:pPr>
        <w:spacing w:after="0"/>
        <w:rPr>
          <w:rFonts w:ascii="Arial" w:hAnsi="Arial" w:cs="Arial"/>
        </w:rPr>
      </w:pPr>
      <w:r w:rsidRPr="00152AF2">
        <w:rPr>
          <w:rFonts w:ascii="Arial" w:hAnsi="Arial" w:cs="Arial"/>
        </w:rPr>
        <w:tab/>
      </w:r>
      <w:r w:rsidR="00FA3AB1" w:rsidRPr="00152AF2">
        <w:rPr>
          <w:rFonts w:ascii="Arial" w:hAnsi="Arial" w:cs="Arial"/>
          <w:b/>
          <w:bCs/>
          <w:u w:val="single"/>
        </w:rPr>
        <w:t>Aim:</w:t>
      </w:r>
      <w:r w:rsidR="00FA3AB1" w:rsidRPr="00152AF2">
        <w:rPr>
          <w:rFonts w:ascii="Arial" w:hAnsi="Arial" w:cs="Arial"/>
        </w:rPr>
        <w:t xml:space="preserve"> </w:t>
      </w:r>
      <w:r w:rsidR="003F3664" w:rsidRPr="00152AF2">
        <w:rPr>
          <w:rFonts w:ascii="Arial" w:hAnsi="Arial" w:cs="Arial"/>
        </w:rPr>
        <w:t xml:space="preserve">To pilot </w:t>
      </w:r>
      <w:r w:rsidR="005970A5" w:rsidRPr="00152AF2">
        <w:rPr>
          <w:rFonts w:ascii="Arial" w:hAnsi="Arial" w:cs="Arial"/>
        </w:rPr>
        <w:t>an integrated data platform (</w:t>
      </w:r>
      <w:r w:rsidR="003F3664" w:rsidRPr="00152AF2">
        <w:rPr>
          <w:rFonts w:ascii="Arial" w:hAnsi="Arial" w:cs="Arial"/>
        </w:rPr>
        <w:t>ME-NET</w:t>
      </w:r>
      <w:r w:rsidR="005970A5" w:rsidRPr="00152AF2">
        <w:rPr>
          <w:rFonts w:ascii="Arial" w:hAnsi="Arial" w:cs="Arial"/>
        </w:rPr>
        <w:t>)</w:t>
      </w:r>
      <w:r w:rsidR="00827889" w:rsidRPr="00152AF2">
        <w:rPr>
          <w:rFonts w:ascii="Arial" w:hAnsi="Arial" w:cs="Arial"/>
        </w:rPr>
        <w:t xml:space="preserve"> for regions with varying </w:t>
      </w:r>
      <w:r w:rsidR="008A6990" w:rsidRPr="00152AF2">
        <w:rPr>
          <w:rFonts w:ascii="Arial" w:hAnsi="Arial" w:cs="Arial"/>
        </w:rPr>
        <w:t xml:space="preserve">environmental and health </w:t>
      </w:r>
      <w:r w:rsidR="00827889" w:rsidRPr="00152AF2">
        <w:rPr>
          <w:rFonts w:ascii="Arial" w:hAnsi="Arial" w:cs="Arial"/>
        </w:rPr>
        <w:t>data availability</w:t>
      </w:r>
      <w:r w:rsidR="005948DE" w:rsidRPr="00152AF2">
        <w:rPr>
          <w:rFonts w:ascii="Arial" w:hAnsi="Arial" w:cs="Arial"/>
        </w:rPr>
        <w:t xml:space="preserve"> and </w:t>
      </w:r>
      <w:r w:rsidR="00DB711F" w:rsidRPr="00152AF2">
        <w:rPr>
          <w:rFonts w:ascii="Arial" w:hAnsi="Arial" w:cs="Arial"/>
        </w:rPr>
        <w:t>quality,</w:t>
      </w:r>
      <w:r w:rsidR="00827889" w:rsidRPr="00152AF2">
        <w:rPr>
          <w:rFonts w:ascii="Arial" w:hAnsi="Arial" w:cs="Arial"/>
        </w:rPr>
        <w:t xml:space="preserve"> and</w:t>
      </w:r>
      <w:r w:rsidR="00DB711F" w:rsidRPr="00152AF2">
        <w:rPr>
          <w:rFonts w:ascii="Arial" w:hAnsi="Arial" w:cs="Arial"/>
        </w:rPr>
        <w:t xml:space="preserve"> with varying</w:t>
      </w:r>
      <w:r w:rsidR="00827889" w:rsidRPr="00152AF2">
        <w:rPr>
          <w:rFonts w:ascii="Arial" w:hAnsi="Arial" w:cs="Arial"/>
        </w:rPr>
        <w:t xml:space="preserve"> sources of methane super-emitters</w:t>
      </w:r>
      <w:r w:rsidR="007D2101" w:rsidRPr="00152AF2">
        <w:rPr>
          <w:rFonts w:ascii="Arial" w:hAnsi="Arial" w:cs="Arial"/>
        </w:rPr>
        <w:t xml:space="preserve"> </w:t>
      </w:r>
      <w:r w:rsidR="00E6036E" w:rsidRPr="00152AF2">
        <w:rPr>
          <w:rFonts w:ascii="Arial" w:hAnsi="Arial" w:cs="Arial"/>
        </w:rPr>
        <w:t>for</w:t>
      </w:r>
      <w:r w:rsidR="002778E0" w:rsidRPr="00152AF2">
        <w:rPr>
          <w:rFonts w:ascii="Arial" w:hAnsi="Arial" w:cs="Arial"/>
        </w:rPr>
        <w:t xml:space="preserve">, a) developing data synthesis approaches that are globally applicable, and b) </w:t>
      </w:r>
      <w:r w:rsidR="00E6036E" w:rsidRPr="00152AF2">
        <w:rPr>
          <w:rFonts w:ascii="Arial" w:hAnsi="Arial" w:cs="Arial"/>
        </w:rPr>
        <w:t>training</w:t>
      </w:r>
      <w:r w:rsidR="008A6990" w:rsidRPr="00152AF2">
        <w:rPr>
          <w:rFonts w:ascii="Arial" w:hAnsi="Arial" w:cs="Arial"/>
        </w:rPr>
        <w:t xml:space="preserve"> methane</w:t>
      </w:r>
      <w:r w:rsidR="00E6036E" w:rsidRPr="00152AF2">
        <w:rPr>
          <w:rFonts w:ascii="Arial" w:hAnsi="Arial" w:cs="Arial"/>
        </w:rPr>
        <w:t xml:space="preserve"> ‘early warning’ models </w:t>
      </w:r>
      <w:r w:rsidR="00CB710E" w:rsidRPr="00152AF2">
        <w:rPr>
          <w:rFonts w:ascii="Arial" w:hAnsi="Arial" w:cs="Arial"/>
        </w:rPr>
        <w:t xml:space="preserve">that are robust to regional </w:t>
      </w:r>
      <w:r w:rsidR="00656CC2" w:rsidRPr="00152AF2">
        <w:rPr>
          <w:rFonts w:ascii="Arial" w:hAnsi="Arial" w:cs="Arial"/>
        </w:rPr>
        <w:t xml:space="preserve">contexts. </w:t>
      </w:r>
    </w:p>
    <w:p w14:paraId="34D5BC16" w14:textId="698253FB" w:rsidR="00506A0F" w:rsidRPr="00152AF2" w:rsidRDefault="00506A0F" w:rsidP="005D1BDF">
      <w:pPr>
        <w:spacing w:after="0"/>
        <w:rPr>
          <w:rFonts w:ascii="Arial" w:hAnsi="Arial" w:cs="Arial"/>
          <w:b/>
          <w:bCs/>
        </w:rPr>
      </w:pPr>
      <w:r w:rsidRPr="00152AF2">
        <w:rPr>
          <w:rFonts w:ascii="Arial" w:hAnsi="Arial" w:cs="Arial"/>
        </w:rPr>
        <w:tab/>
      </w:r>
      <w:r w:rsidRPr="00152AF2">
        <w:rPr>
          <w:rFonts w:ascii="Arial" w:hAnsi="Arial" w:cs="Arial"/>
          <w:b/>
          <w:bCs/>
          <w:u w:val="single"/>
        </w:rPr>
        <w:t>Research questions:</w:t>
      </w:r>
    </w:p>
    <w:p w14:paraId="764256DD" w14:textId="2E84B5C6" w:rsidR="00506A0F" w:rsidRPr="00152AF2" w:rsidRDefault="00B50A93" w:rsidP="00B50A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152AF2">
        <w:rPr>
          <w:rFonts w:ascii="Arial" w:hAnsi="Arial" w:cs="Arial"/>
        </w:rPr>
        <w:t xml:space="preserve">To what extent can Deep Learning be used to develop an early warning system that incorporates health data in </w:t>
      </w:r>
      <w:r w:rsidR="00984A52" w:rsidRPr="00152AF2">
        <w:rPr>
          <w:rFonts w:ascii="Arial" w:hAnsi="Arial" w:cs="Arial"/>
        </w:rPr>
        <w:t>two/</w:t>
      </w:r>
      <w:r w:rsidRPr="00152AF2">
        <w:rPr>
          <w:rFonts w:ascii="Arial" w:hAnsi="Arial" w:cs="Arial"/>
        </w:rPr>
        <w:t xml:space="preserve">three regions of the world representing a microcosm of wider global variation related to data </w:t>
      </w:r>
      <w:r w:rsidR="005D7F30" w:rsidRPr="00152AF2">
        <w:rPr>
          <w:rFonts w:ascii="Arial" w:hAnsi="Arial" w:cs="Arial"/>
        </w:rPr>
        <w:t>availability and quality?</w:t>
      </w:r>
    </w:p>
    <w:p w14:paraId="708080B2" w14:textId="0B4FE3B9" w:rsidR="005D7F30" w:rsidRPr="00152AF2" w:rsidRDefault="005D7F30" w:rsidP="00B50A9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152AF2">
        <w:rPr>
          <w:rFonts w:ascii="Arial" w:hAnsi="Arial" w:cs="Arial"/>
        </w:rPr>
        <w:t xml:space="preserve">What are the most </w:t>
      </w:r>
      <w:r w:rsidR="0053422F" w:rsidRPr="00152AF2">
        <w:rPr>
          <w:rFonts w:ascii="Arial" w:hAnsi="Arial" w:cs="Arial"/>
        </w:rPr>
        <w:t>relevant health measures for predicting physical and mental health emergencies associate</w:t>
      </w:r>
      <w:r w:rsidR="00B32D4D" w:rsidRPr="00152AF2">
        <w:rPr>
          <w:rFonts w:ascii="Arial" w:hAnsi="Arial" w:cs="Arial"/>
        </w:rPr>
        <w:t>d</w:t>
      </w:r>
      <w:r w:rsidR="0053422F" w:rsidRPr="00152AF2">
        <w:rPr>
          <w:rFonts w:ascii="Arial" w:hAnsi="Arial" w:cs="Arial"/>
        </w:rPr>
        <w:t xml:space="preserve"> with methane and ozone concentrations in </w:t>
      </w:r>
      <w:r w:rsidR="00FF1F1E" w:rsidRPr="00152AF2">
        <w:rPr>
          <w:rFonts w:ascii="Arial" w:hAnsi="Arial" w:cs="Arial"/>
        </w:rPr>
        <w:t>two/</w:t>
      </w:r>
      <w:r w:rsidR="0053422F" w:rsidRPr="00152AF2">
        <w:rPr>
          <w:rFonts w:ascii="Arial" w:hAnsi="Arial" w:cs="Arial"/>
        </w:rPr>
        <w:t>three regions</w:t>
      </w:r>
      <w:r w:rsidR="002742A4" w:rsidRPr="00152AF2">
        <w:rPr>
          <w:rFonts w:ascii="Arial" w:hAnsi="Arial" w:cs="Arial"/>
        </w:rPr>
        <w:t xml:space="preserve">? </w:t>
      </w:r>
    </w:p>
    <w:p w14:paraId="31B6F78C" w14:textId="6C582BC4" w:rsidR="0055191A" w:rsidRPr="00152AF2" w:rsidRDefault="007B77A0" w:rsidP="005D1BD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152AF2">
        <w:rPr>
          <w:rFonts w:ascii="Arial" w:hAnsi="Arial" w:cs="Arial"/>
        </w:rPr>
        <w:t xml:space="preserve">What user functions would best </w:t>
      </w:r>
      <w:r w:rsidR="002C3AB4" w:rsidRPr="00152AF2">
        <w:rPr>
          <w:rFonts w:ascii="Arial" w:hAnsi="Arial" w:cs="Arial"/>
        </w:rPr>
        <w:t>improve the visibility of climate change impacts</w:t>
      </w:r>
      <w:r w:rsidR="003C6C33" w:rsidRPr="00152AF2">
        <w:rPr>
          <w:rFonts w:ascii="Arial" w:hAnsi="Arial" w:cs="Arial"/>
        </w:rPr>
        <w:t xml:space="preserve">, and how deliverable </w:t>
      </w:r>
      <w:proofErr w:type="gramStart"/>
      <w:r w:rsidR="003C6C33" w:rsidRPr="00152AF2">
        <w:rPr>
          <w:rFonts w:ascii="Arial" w:hAnsi="Arial" w:cs="Arial"/>
        </w:rPr>
        <w:t>are</w:t>
      </w:r>
      <w:proofErr w:type="gramEnd"/>
      <w:r w:rsidR="003C6C33" w:rsidRPr="00152AF2">
        <w:rPr>
          <w:rFonts w:ascii="Arial" w:hAnsi="Arial" w:cs="Arial"/>
        </w:rPr>
        <w:t xml:space="preserve"> these</w:t>
      </w:r>
      <w:r w:rsidR="00FC78DF" w:rsidRPr="00152AF2">
        <w:rPr>
          <w:rFonts w:ascii="Arial" w:hAnsi="Arial" w:cs="Arial"/>
        </w:rPr>
        <w:t>,</w:t>
      </w:r>
      <w:r w:rsidR="003C6C33" w:rsidRPr="00152AF2">
        <w:rPr>
          <w:rFonts w:ascii="Arial" w:hAnsi="Arial" w:cs="Arial"/>
        </w:rPr>
        <w:t xml:space="preserve"> given data availability and quality in re</w:t>
      </w:r>
      <w:r w:rsidR="00760B11" w:rsidRPr="00152AF2">
        <w:rPr>
          <w:rFonts w:ascii="Arial" w:hAnsi="Arial" w:cs="Arial"/>
        </w:rPr>
        <w:t>gi</w:t>
      </w:r>
      <w:r w:rsidR="003C6C33" w:rsidRPr="00152AF2">
        <w:rPr>
          <w:rFonts w:ascii="Arial" w:hAnsi="Arial" w:cs="Arial"/>
        </w:rPr>
        <w:t>ons?</w:t>
      </w:r>
    </w:p>
    <w:p w14:paraId="14F32270" w14:textId="1D120164" w:rsidR="00732D58" w:rsidRPr="00152AF2" w:rsidRDefault="00092702" w:rsidP="005D1BDF">
      <w:pPr>
        <w:spacing w:after="0"/>
        <w:rPr>
          <w:rFonts w:ascii="Arial" w:hAnsi="Arial" w:cs="Arial"/>
        </w:rPr>
      </w:pPr>
      <w:r w:rsidRPr="00152AF2">
        <w:rPr>
          <w:rFonts w:ascii="Arial" w:hAnsi="Arial" w:cs="Arial"/>
        </w:rPr>
        <w:tab/>
      </w:r>
      <w:r w:rsidR="00A133B4" w:rsidRPr="00152AF2">
        <w:rPr>
          <w:rFonts w:ascii="Arial" w:hAnsi="Arial" w:cs="Arial"/>
          <w:b/>
          <w:bCs/>
          <w:u w:val="single"/>
        </w:rPr>
        <w:t>Summary of the research:</w:t>
      </w:r>
      <w:r w:rsidRPr="00152AF2">
        <w:rPr>
          <w:rFonts w:ascii="Arial" w:hAnsi="Arial" w:cs="Arial"/>
        </w:rPr>
        <w:t xml:space="preserve"> </w:t>
      </w:r>
      <w:r w:rsidR="00D75C6A" w:rsidRPr="00152AF2">
        <w:rPr>
          <w:rFonts w:ascii="Arial" w:hAnsi="Arial" w:cs="Arial"/>
        </w:rPr>
        <w:t>The research will</w:t>
      </w:r>
      <w:r w:rsidR="00105035" w:rsidRPr="00152AF2">
        <w:rPr>
          <w:rFonts w:ascii="Arial" w:hAnsi="Arial" w:cs="Arial"/>
        </w:rPr>
        <w:t xml:space="preserve"> pilot </w:t>
      </w:r>
      <w:r w:rsidR="00D75C6A" w:rsidRPr="00152AF2">
        <w:rPr>
          <w:rFonts w:ascii="Arial" w:hAnsi="Arial" w:cs="Arial"/>
        </w:rPr>
        <w:t>us</w:t>
      </w:r>
      <w:r w:rsidR="00394A82" w:rsidRPr="00152AF2">
        <w:rPr>
          <w:rFonts w:ascii="Arial" w:hAnsi="Arial" w:cs="Arial"/>
        </w:rPr>
        <w:t>ing</w:t>
      </w:r>
      <w:r w:rsidR="00D75C6A" w:rsidRPr="00152AF2">
        <w:rPr>
          <w:rFonts w:ascii="Arial" w:hAnsi="Arial" w:cs="Arial"/>
        </w:rPr>
        <w:t xml:space="preserve"> DL/A</w:t>
      </w:r>
      <w:r w:rsidR="00162C33" w:rsidRPr="00152AF2">
        <w:rPr>
          <w:rFonts w:ascii="Arial" w:hAnsi="Arial" w:cs="Arial"/>
        </w:rPr>
        <w:t>rtificial Neural Networks</w:t>
      </w:r>
      <w:r w:rsidR="00FC0FE9" w:rsidRPr="00152AF2">
        <w:rPr>
          <w:rFonts w:ascii="Arial" w:hAnsi="Arial" w:cs="Arial"/>
        </w:rPr>
        <w:t xml:space="preserve"> (</w:t>
      </w:r>
      <w:r w:rsidR="00117D47" w:rsidRPr="00152AF2">
        <w:rPr>
          <w:rFonts w:ascii="Arial" w:hAnsi="Arial" w:cs="Arial"/>
        </w:rPr>
        <w:t>Schuit et al., 2022)</w:t>
      </w:r>
      <w:r w:rsidR="00B84EA0" w:rsidRPr="00152AF2">
        <w:rPr>
          <w:rFonts w:ascii="Arial" w:hAnsi="Arial" w:cs="Arial"/>
        </w:rPr>
        <w:t xml:space="preserve"> to train an ‘early warning’ </w:t>
      </w:r>
      <w:r w:rsidR="002D7267" w:rsidRPr="00152AF2">
        <w:rPr>
          <w:rFonts w:ascii="Arial" w:hAnsi="Arial" w:cs="Arial"/>
        </w:rPr>
        <w:t xml:space="preserve">model that incorporates </w:t>
      </w:r>
      <w:r w:rsidR="00D13DB6" w:rsidRPr="00152AF2">
        <w:rPr>
          <w:rFonts w:ascii="Arial" w:hAnsi="Arial" w:cs="Arial"/>
        </w:rPr>
        <w:t xml:space="preserve">best quality </w:t>
      </w:r>
      <w:r w:rsidR="005F7F1C" w:rsidRPr="00152AF2">
        <w:rPr>
          <w:rFonts w:ascii="Arial" w:hAnsi="Arial" w:cs="Arial"/>
        </w:rPr>
        <w:t>available historic and current/future</w:t>
      </w:r>
      <w:r w:rsidR="00D13DB6" w:rsidRPr="00152AF2">
        <w:rPr>
          <w:rFonts w:ascii="Arial" w:hAnsi="Arial" w:cs="Arial"/>
        </w:rPr>
        <w:t xml:space="preserve"> </w:t>
      </w:r>
      <w:r w:rsidR="001242C5" w:rsidRPr="00152AF2">
        <w:rPr>
          <w:rFonts w:ascii="Arial" w:hAnsi="Arial" w:cs="Arial"/>
        </w:rPr>
        <w:t xml:space="preserve">environmental and </w:t>
      </w:r>
      <w:r w:rsidR="00D13DB6" w:rsidRPr="00152AF2">
        <w:rPr>
          <w:rFonts w:ascii="Arial" w:hAnsi="Arial" w:cs="Arial"/>
        </w:rPr>
        <w:t>health data a</w:t>
      </w:r>
      <w:r w:rsidR="00D64458" w:rsidRPr="00152AF2">
        <w:rPr>
          <w:rFonts w:ascii="Arial" w:hAnsi="Arial" w:cs="Arial"/>
        </w:rPr>
        <w:t xml:space="preserve">nd </w:t>
      </w:r>
      <w:r w:rsidR="00D13DB6" w:rsidRPr="00152AF2">
        <w:rPr>
          <w:rFonts w:ascii="Arial" w:hAnsi="Arial" w:cs="Arial"/>
        </w:rPr>
        <w:t>patient self-report</w:t>
      </w:r>
      <w:r w:rsidR="00D64458" w:rsidRPr="00152AF2">
        <w:rPr>
          <w:rFonts w:ascii="Arial" w:hAnsi="Arial" w:cs="Arial"/>
        </w:rPr>
        <w:t>ed data</w:t>
      </w:r>
      <w:r w:rsidR="00D13DB6" w:rsidRPr="00152AF2">
        <w:rPr>
          <w:rFonts w:ascii="Arial" w:hAnsi="Arial" w:cs="Arial"/>
        </w:rPr>
        <w:t xml:space="preserve"> for validation. </w:t>
      </w:r>
      <w:r w:rsidR="001E33D1" w:rsidRPr="00152AF2">
        <w:rPr>
          <w:rFonts w:ascii="Arial" w:hAnsi="Arial" w:cs="Arial"/>
        </w:rPr>
        <w:t xml:space="preserve">This model could be </w:t>
      </w:r>
      <w:r w:rsidR="00A50184" w:rsidRPr="00152AF2">
        <w:rPr>
          <w:rFonts w:ascii="Arial" w:hAnsi="Arial" w:cs="Arial"/>
        </w:rPr>
        <w:t>integrated with existing/future platforms (e.g., MARs</w:t>
      </w:r>
      <w:r w:rsidR="006D696A" w:rsidRPr="00152AF2">
        <w:rPr>
          <w:rFonts w:ascii="Arial" w:hAnsi="Arial" w:cs="Arial"/>
        </w:rPr>
        <w:t>, infectious disease early warning systems</w:t>
      </w:r>
      <w:r w:rsidR="00A50184" w:rsidRPr="00152AF2">
        <w:rPr>
          <w:rFonts w:ascii="Arial" w:hAnsi="Arial" w:cs="Arial"/>
        </w:rPr>
        <w:t>) or operate independently by utilising open source atmospheric</w:t>
      </w:r>
      <w:r w:rsidR="00B15DCD" w:rsidRPr="00152AF2">
        <w:rPr>
          <w:rFonts w:ascii="Arial" w:hAnsi="Arial" w:cs="Arial"/>
        </w:rPr>
        <w:t xml:space="preserve">, weather, and ground-level data (e.g., Copernicus Open Access Hub). </w:t>
      </w:r>
      <w:r w:rsidR="0064074B" w:rsidRPr="00152AF2">
        <w:rPr>
          <w:rFonts w:ascii="Arial" w:hAnsi="Arial" w:cs="Arial"/>
        </w:rPr>
        <w:t xml:space="preserve">Incremental Learning will incorporate </w:t>
      </w:r>
      <w:r w:rsidR="00453629" w:rsidRPr="00152AF2">
        <w:rPr>
          <w:rFonts w:ascii="Arial" w:hAnsi="Arial" w:cs="Arial"/>
        </w:rPr>
        <w:t xml:space="preserve">incoming service use and </w:t>
      </w:r>
      <w:r w:rsidR="00900274" w:rsidRPr="00152AF2">
        <w:rPr>
          <w:rFonts w:ascii="Arial" w:hAnsi="Arial" w:cs="Arial"/>
        </w:rPr>
        <w:t>self-reported patient data to improve accuracy</w:t>
      </w:r>
      <w:r w:rsidR="000B1C29" w:rsidRPr="00152AF2">
        <w:rPr>
          <w:rFonts w:ascii="Arial" w:hAnsi="Arial" w:cs="Arial"/>
        </w:rPr>
        <w:t xml:space="preserve"> and identify environmental thresholds linked to severe health outcomes</w:t>
      </w:r>
      <w:r w:rsidR="00900274" w:rsidRPr="00152AF2">
        <w:rPr>
          <w:rFonts w:ascii="Arial" w:hAnsi="Arial" w:cs="Arial"/>
        </w:rPr>
        <w:t xml:space="preserve">. </w:t>
      </w:r>
      <w:r w:rsidR="00A323A4" w:rsidRPr="00152AF2">
        <w:rPr>
          <w:rFonts w:ascii="Arial" w:hAnsi="Arial" w:cs="Arial"/>
        </w:rPr>
        <w:t xml:space="preserve">Comparing and contrasting </w:t>
      </w:r>
      <w:r w:rsidR="00704F68" w:rsidRPr="00152AF2">
        <w:rPr>
          <w:rFonts w:ascii="Arial" w:hAnsi="Arial" w:cs="Arial"/>
        </w:rPr>
        <w:t xml:space="preserve">dashboard functionality between regions </w:t>
      </w:r>
      <w:r w:rsidR="00C53D76" w:rsidRPr="00152AF2">
        <w:rPr>
          <w:rFonts w:ascii="Arial" w:hAnsi="Arial" w:cs="Arial"/>
        </w:rPr>
        <w:t xml:space="preserve">will reveal design challenges associated with data availability, socio-cultural context, </w:t>
      </w:r>
      <w:r w:rsidR="004F613B" w:rsidRPr="00152AF2">
        <w:rPr>
          <w:rFonts w:ascii="Arial" w:hAnsi="Arial" w:cs="Arial"/>
        </w:rPr>
        <w:t xml:space="preserve">and </w:t>
      </w:r>
      <w:r w:rsidR="0029378F" w:rsidRPr="00152AF2">
        <w:rPr>
          <w:rFonts w:ascii="Arial" w:hAnsi="Arial" w:cs="Arial"/>
        </w:rPr>
        <w:t xml:space="preserve">science literacy. </w:t>
      </w:r>
      <w:r w:rsidR="00754E13" w:rsidRPr="00152AF2">
        <w:rPr>
          <w:rFonts w:ascii="Arial" w:hAnsi="Arial" w:cs="Arial"/>
        </w:rPr>
        <w:t xml:space="preserve">Understanding regional characteristics will allow our </w:t>
      </w:r>
      <w:r w:rsidR="00DD1426" w:rsidRPr="00152AF2">
        <w:rPr>
          <w:rFonts w:ascii="Arial" w:hAnsi="Arial" w:cs="Arial"/>
        </w:rPr>
        <w:t>UX/UI designers</w:t>
      </w:r>
      <w:r w:rsidR="00754E13" w:rsidRPr="00152AF2">
        <w:rPr>
          <w:rFonts w:ascii="Arial" w:hAnsi="Arial" w:cs="Arial"/>
        </w:rPr>
        <w:t xml:space="preserve"> (</w:t>
      </w:r>
      <w:r w:rsidR="00E10D07" w:rsidRPr="00152AF2">
        <w:rPr>
          <w:rFonts w:ascii="Arial" w:hAnsi="Arial" w:cs="Arial"/>
        </w:rPr>
        <w:t>Ethical Design Co.) to co-</w:t>
      </w:r>
      <w:r w:rsidR="0006065C" w:rsidRPr="00152AF2">
        <w:rPr>
          <w:rFonts w:ascii="Arial" w:hAnsi="Arial" w:cs="Arial"/>
        </w:rPr>
        <w:t>produce</w:t>
      </w:r>
      <w:r w:rsidR="00E10D07" w:rsidRPr="00152AF2">
        <w:rPr>
          <w:rFonts w:ascii="Arial" w:hAnsi="Arial" w:cs="Arial"/>
        </w:rPr>
        <w:t xml:space="preserve"> innovative </w:t>
      </w:r>
      <w:r w:rsidR="00CB690A" w:rsidRPr="00152AF2">
        <w:rPr>
          <w:rFonts w:ascii="Arial" w:hAnsi="Arial" w:cs="Arial"/>
        </w:rPr>
        <w:t xml:space="preserve">modular </w:t>
      </w:r>
      <w:r w:rsidR="00E10D07" w:rsidRPr="00152AF2">
        <w:rPr>
          <w:rFonts w:ascii="Arial" w:hAnsi="Arial" w:cs="Arial"/>
        </w:rPr>
        <w:t xml:space="preserve">solutions that promote data </w:t>
      </w:r>
      <w:r w:rsidR="0048780B" w:rsidRPr="00152AF2">
        <w:rPr>
          <w:rFonts w:ascii="Arial" w:hAnsi="Arial" w:cs="Arial"/>
        </w:rPr>
        <w:t xml:space="preserve">trustworthiness, </w:t>
      </w:r>
      <w:r w:rsidR="00DF42A7" w:rsidRPr="00152AF2">
        <w:rPr>
          <w:rFonts w:ascii="Arial" w:hAnsi="Arial" w:cs="Arial"/>
        </w:rPr>
        <w:t xml:space="preserve">science literacy, </w:t>
      </w:r>
      <w:r w:rsidR="0048780B" w:rsidRPr="00152AF2">
        <w:rPr>
          <w:rFonts w:ascii="Arial" w:hAnsi="Arial" w:cs="Arial"/>
        </w:rPr>
        <w:t xml:space="preserve">encourage citizen science, and </w:t>
      </w:r>
      <w:r w:rsidR="009C30C6" w:rsidRPr="00152AF2">
        <w:rPr>
          <w:rFonts w:ascii="Arial" w:hAnsi="Arial" w:cs="Arial"/>
        </w:rPr>
        <w:t>facilitate i</w:t>
      </w:r>
      <w:r w:rsidR="00006A90" w:rsidRPr="00152AF2">
        <w:rPr>
          <w:rFonts w:ascii="Arial" w:hAnsi="Arial" w:cs="Arial"/>
        </w:rPr>
        <w:t xml:space="preserve">nclusive, accessible engagement with the ME-NET dashboard. </w:t>
      </w:r>
      <w:r w:rsidR="00EE19C6" w:rsidRPr="00152AF2">
        <w:rPr>
          <w:rFonts w:ascii="Arial" w:hAnsi="Arial" w:cs="Arial"/>
        </w:rPr>
        <w:t xml:space="preserve">The dashboard </w:t>
      </w:r>
      <w:r w:rsidR="00B564E7" w:rsidRPr="00152AF2">
        <w:rPr>
          <w:rFonts w:ascii="Arial" w:hAnsi="Arial" w:cs="Arial"/>
        </w:rPr>
        <w:t>will synthesise</w:t>
      </w:r>
      <w:r w:rsidR="00984DFC" w:rsidRPr="00152AF2">
        <w:rPr>
          <w:rFonts w:ascii="Arial" w:hAnsi="Arial" w:cs="Arial"/>
        </w:rPr>
        <w:t xml:space="preserve"> r</w:t>
      </w:r>
      <w:r w:rsidR="00A70320" w:rsidRPr="00152AF2">
        <w:rPr>
          <w:rFonts w:ascii="Arial" w:hAnsi="Arial" w:cs="Arial"/>
        </w:rPr>
        <w:t>o</w:t>
      </w:r>
      <w:r w:rsidR="00984DFC" w:rsidRPr="00152AF2">
        <w:rPr>
          <w:rFonts w:ascii="Arial" w:hAnsi="Arial" w:cs="Arial"/>
        </w:rPr>
        <w:t>bust</w:t>
      </w:r>
      <w:r w:rsidR="00B564E7" w:rsidRPr="00152AF2">
        <w:rPr>
          <w:rFonts w:ascii="Arial" w:hAnsi="Arial" w:cs="Arial"/>
        </w:rPr>
        <w:t xml:space="preserve"> </w:t>
      </w:r>
      <w:proofErr w:type="gramStart"/>
      <w:r w:rsidR="00B564E7" w:rsidRPr="00152AF2">
        <w:rPr>
          <w:rFonts w:ascii="Arial" w:hAnsi="Arial" w:cs="Arial"/>
        </w:rPr>
        <w:t>open-data</w:t>
      </w:r>
      <w:proofErr w:type="gramEnd"/>
      <w:r w:rsidR="00B564E7" w:rsidRPr="00152AF2">
        <w:rPr>
          <w:rFonts w:ascii="Arial" w:hAnsi="Arial" w:cs="Arial"/>
        </w:rPr>
        <w:t xml:space="preserve"> </w:t>
      </w:r>
      <w:r w:rsidR="00A70320" w:rsidRPr="00152AF2">
        <w:rPr>
          <w:rFonts w:ascii="Arial" w:hAnsi="Arial" w:cs="Arial"/>
        </w:rPr>
        <w:t xml:space="preserve">(e.g., ONS) </w:t>
      </w:r>
      <w:r w:rsidR="00B564E7" w:rsidRPr="00152AF2">
        <w:rPr>
          <w:rFonts w:ascii="Arial" w:hAnsi="Arial" w:cs="Arial"/>
        </w:rPr>
        <w:t xml:space="preserve">for </w:t>
      </w:r>
      <w:r w:rsidR="00A34977" w:rsidRPr="00152AF2">
        <w:rPr>
          <w:rFonts w:ascii="Arial" w:hAnsi="Arial" w:cs="Arial"/>
        </w:rPr>
        <w:t>transparency</w:t>
      </w:r>
      <w:r w:rsidR="009075D2" w:rsidRPr="00152AF2">
        <w:rPr>
          <w:rFonts w:ascii="Arial" w:hAnsi="Arial" w:cs="Arial"/>
        </w:rPr>
        <w:t xml:space="preserve"> and </w:t>
      </w:r>
      <w:r w:rsidR="00A34977" w:rsidRPr="00152AF2">
        <w:rPr>
          <w:rFonts w:ascii="Arial" w:hAnsi="Arial" w:cs="Arial"/>
        </w:rPr>
        <w:t>economic sustainability</w:t>
      </w:r>
      <w:r w:rsidR="009075D2" w:rsidRPr="00152AF2">
        <w:rPr>
          <w:rFonts w:ascii="Arial" w:hAnsi="Arial" w:cs="Arial"/>
        </w:rPr>
        <w:t xml:space="preserve">. Local partnerships will </w:t>
      </w:r>
      <w:r w:rsidR="00A34977" w:rsidRPr="00152AF2">
        <w:rPr>
          <w:rFonts w:ascii="Arial" w:hAnsi="Arial" w:cs="Arial"/>
        </w:rPr>
        <w:t>encourag</w:t>
      </w:r>
      <w:r w:rsidR="009075D2" w:rsidRPr="00152AF2">
        <w:rPr>
          <w:rFonts w:ascii="Arial" w:hAnsi="Arial" w:cs="Arial"/>
        </w:rPr>
        <w:t>e</w:t>
      </w:r>
      <w:r w:rsidR="00A34977" w:rsidRPr="00152AF2">
        <w:rPr>
          <w:rFonts w:ascii="Arial" w:hAnsi="Arial" w:cs="Arial"/>
        </w:rPr>
        <w:t xml:space="preserve"> user</w:t>
      </w:r>
      <w:r w:rsidR="003B3098" w:rsidRPr="00152AF2">
        <w:rPr>
          <w:rFonts w:ascii="Arial" w:hAnsi="Arial" w:cs="Arial"/>
        </w:rPr>
        <w:t xml:space="preserve"> engagement</w:t>
      </w:r>
      <w:r w:rsidR="00D93529" w:rsidRPr="00152AF2">
        <w:rPr>
          <w:rFonts w:ascii="Arial" w:hAnsi="Arial" w:cs="Arial"/>
        </w:rPr>
        <w:t xml:space="preserve"> with</w:t>
      </w:r>
      <w:r w:rsidR="005F4F6F" w:rsidRPr="00152AF2">
        <w:rPr>
          <w:rFonts w:ascii="Arial" w:hAnsi="Arial" w:cs="Arial"/>
        </w:rPr>
        <w:t xml:space="preserve"> </w:t>
      </w:r>
      <w:r w:rsidR="002529B2" w:rsidRPr="00152AF2">
        <w:rPr>
          <w:rFonts w:ascii="Arial" w:hAnsi="Arial" w:cs="Arial"/>
        </w:rPr>
        <w:t>dashboard co-design</w:t>
      </w:r>
      <w:r w:rsidR="003B3098" w:rsidRPr="00152AF2">
        <w:rPr>
          <w:rFonts w:ascii="Arial" w:hAnsi="Arial" w:cs="Arial"/>
        </w:rPr>
        <w:t xml:space="preserve"> to promote </w:t>
      </w:r>
      <w:r w:rsidR="00B63852" w:rsidRPr="00152AF2">
        <w:rPr>
          <w:rFonts w:ascii="Arial" w:hAnsi="Arial" w:cs="Arial"/>
        </w:rPr>
        <w:t xml:space="preserve">climate response readiness and </w:t>
      </w:r>
      <w:r w:rsidR="003B3098" w:rsidRPr="00152AF2">
        <w:rPr>
          <w:rFonts w:ascii="Arial" w:hAnsi="Arial" w:cs="Arial"/>
        </w:rPr>
        <w:t>science literacy</w:t>
      </w:r>
      <w:r w:rsidR="00A34977" w:rsidRPr="00152AF2">
        <w:rPr>
          <w:rFonts w:ascii="Arial" w:hAnsi="Arial" w:cs="Arial"/>
        </w:rPr>
        <w:t>.</w:t>
      </w:r>
    </w:p>
    <w:p w14:paraId="5A8A4DEE" w14:textId="1C51EFDE" w:rsidR="00B13343" w:rsidRPr="00152AF2" w:rsidRDefault="00732D58" w:rsidP="005D1BDF">
      <w:pPr>
        <w:spacing w:after="0"/>
        <w:rPr>
          <w:rFonts w:ascii="Arial" w:hAnsi="Arial" w:cs="Arial"/>
          <w:u w:val="single"/>
        </w:rPr>
      </w:pPr>
      <w:r w:rsidRPr="00152AF2">
        <w:rPr>
          <w:rFonts w:ascii="Arial" w:hAnsi="Arial" w:cs="Arial"/>
        </w:rPr>
        <w:tab/>
      </w:r>
      <w:r w:rsidRPr="00152AF2">
        <w:rPr>
          <w:rFonts w:ascii="Arial" w:hAnsi="Arial" w:cs="Arial"/>
          <w:b/>
          <w:bCs/>
          <w:u w:val="single"/>
        </w:rPr>
        <w:t>Location and population:</w:t>
      </w:r>
      <w:r w:rsidR="003B6485" w:rsidRPr="00152AF2">
        <w:rPr>
          <w:rFonts w:ascii="Arial" w:hAnsi="Arial" w:cs="Arial"/>
        </w:rPr>
        <w:t xml:space="preserve"> </w:t>
      </w:r>
      <w:r w:rsidR="00035E41" w:rsidRPr="00152AF2">
        <w:rPr>
          <w:rFonts w:ascii="Arial" w:hAnsi="Arial" w:cs="Arial"/>
        </w:rPr>
        <w:t>Thr</w:t>
      </w:r>
      <w:r w:rsidR="00B4119B" w:rsidRPr="00152AF2">
        <w:rPr>
          <w:rFonts w:ascii="Arial" w:hAnsi="Arial" w:cs="Arial"/>
        </w:rPr>
        <w:t xml:space="preserve">ee regions will be involved in the research, with </w:t>
      </w:r>
      <w:r w:rsidR="005A4DB2" w:rsidRPr="00152AF2">
        <w:rPr>
          <w:rFonts w:ascii="Arial" w:hAnsi="Arial" w:cs="Arial"/>
        </w:rPr>
        <w:t xml:space="preserve">capacity to develop two regional dashboards to full functionality </w:t>
      </w:r>
      <w:r w:rsidR="00483245" w:rsidRPr="00152AF2">
        <w:rPr>
          <w:rFonts w:ascii="Arial" w:hAnsi="Arial" w:cs="Arial"/>
        </w:rPr>
        <w:t xml:space="preserve">in one year and </w:t>
      </w:r>
      <w:r w:rsidR="001E5331" w:rsidRPr="00152AF2">
        <w:rPr>
          <w:rFonts w:ascii="Arial" w:hAnsi="Arial" w:cs="Arial"/>
        </w:rPr>
        <w:t>partial</w:t>
      </w:r>
      <w:r w:rsidR="002A768B" w:rsidRPr="00152AF2">
        <w:rPr>
          <w:rFonts w:ascii="Arial" w:hAnsi="Arial" w:cs="Arial"/>
        </w:rPr>
        <w:t xml:space="preserve"> to full</w:t>
      </w:r>
      <w:r w:rsidR="001E5331" w:rsidRPr="00152AF2">
        <w:rPr>
          <w:rFonts w:ascii="Arial" w:hAnsi="Arial" w:cs="Arial"/>
        </w:rPr>
        <w:t xml:space="preserve"> functionality in a third region</w:t>
      </w:r>
      <w:r w:rsidR="00803449" w:rsidRPr="00152AF2">
        <w:rPr>
          <w:rFonts w:ascii="Arial" w:hAnsi="Arial" w:cs="Arial"/>
        </w:rPr>
        <w:t>, depending</w:t>
      </w:r>
      <w:r w:rsidR="00FF5346" w:rsidRPr="00152AF2">
        <w:rPr>
          <w:rFonts w:ascii="Arial" w:hAnsi="Arial" w:cs="Arial"/>
        </w:rPr>
        <w:t xml:space="preserve"> on</w:t>
      </w:r>
      <w:r w:rsidR="00840FD3" w:rsidRPr="00152AF2">
        <w:rPr>
          <w:rFonts w:ascii="Arial" w:hAnsi="Arial" w:cs="Arial"/>
        </w:rPr>
        <w:t xml:space="preserve"> </w:t>
      </w:r>
      <w:r w:rsidR="006D71B1" w:rsidRPr="00152AF2">
        <w:rPr>
          <w:rFonts w:ascii="Arial" w:hAnsi="Arial" w:cs="Arial"/>
        </w:rPr>
        <w:t>timeframes for co-production</w:t>
      </w:r>
      <w:r w:rsidR="001E5331" w:rsidRPr="00152AF2">
        <w:rPr>
          <w:rFonts w:ascii="Arial" w:hAnsi="Arial" w:cs="Arial"/>
        </w:rPr>
        <w:t>.</w:t>
      </w:r>
      <w:r w:rsidR="00AF3F4D" w:rsidRPr="00152AF2">
        <w:rPr>
          <w:rFonts w:ascii="Arial" w:hAnsi="Arial" w:cs="Arial"/>
        </w:rPr>
        <w:t xml:space="preserve"> </w:t>
      </w:r>
      <w:r w:rsidR="00EB3BCC" w:rsidRPr="00152AF2">
        <w:rPr>
          <w:rFonts w:ascii="Arial" w:hAnsi="Arial" w:cs="Arial"/>
        </w:rPr>
        <w:t xml:space="preserve">Participation </w:t>
      </w:r>
      <w:r w:rsidR="003B6B5F" w:rsidRPr="00152AF2">
        <w:rPr>
          <w:rFonts w:ascii="Arial" w:hAnsi="Arial" w:cs="Arial"/>
        </w:rPr>
        <w:t>by local communit</w:t>
      </w:r>
      <w:r w:rsidR="003419E7" w:rsidRPr="00152AF2">
        <w:rPr>
          <w:rFonts w:ascii="Arial" w:hAnsi="Arial" w:cs="Arial"/>
        </w:rPr>
        <w:t>y lived experience experts (LEEs)</w:t>
      </w:r>
      <w:r w:rsidR="000C3E24" w:rsidRPr="00152AF2">
        <w:rPr>
          <w:rFonts w:ascii="Arial" w:hAnsi="Arial" w:cs="Arial"/>
        </w:rPr>
        <w:t xml:space="preserve"> </w:t>
      </w:r>
      <w:r w:rsidR="00807462" w:rsidRPr="00152AF2">
        <w:rPr>
          <w:rFonts w:ascii="Arial" w:hAnsi="Arial" w:cs="Arial"/>
        </w:rPr>
        <w:t xml:space="preserve">for co-developing </w:t>
      </w:r>
      <w:r w:rsidR="006A36AA" w:rsidRPr="00152AF2">
        <w:rPr>
          <w:rFonts w:ascii="Arial" w:hAnsi="Arial" w:cs="Arial"/>
        </w:rPr>
        <w:t xml:space="preserve">the prototype </w:t>
      </w:r>
      <w:r w:rsidR="00EB3BCC" w:rsidRPr="00152AF2">
        <w:rPr>
          <w:rFonts w:ascii="Arial" w:hAnsi="Arial" w:cs="Arial"/>
        </w:rPr>
        <w:t>may be</w:t>
      </w:r>
      <w:r w:rsidR="00FF1881" w:rsidRPr="00152AF2">
        <w:rPr>
          <w:rFonts w:ascii="Arial" w:hAnsi="Arial" w:cs="Arial"/>
        </w:rPr>
        <w:t xml:space="preserve"> subject to cultural factors like </w:t>
      </w:r>
      <w:r w:rsidR="00EF0726" w:rsidRPr="00152AF2">
        <w:rPr>
          <w:rFonts w:ascii="Arial" w:hAnsi="Arial" w:cs="Arial"/>
        </w:rPr>
        <w:t xml:space="preserve">seasonal employment and agricultural </w:t>
      </w:r>
      <w:r w:rsidR="00866013" w:rsidRPr="00152AF2">
        <w:rPr>
          <w:rFonts w:ascii="Arial" w:hAnsi="Arial" w:cs="Arial"/>
        </w:rPr>
        <w:t>timeframes.</w:t>
      </w:r>
      <w:r w:rsidR="001E5331" w:rsidRPr="00152AF2">
        <w:rPr>
          <w:rFonts w:ascii="Arial" w:hAnsi="Arial" w:cs="Arial"/>
        </w:rPr>
        <w:t xml:space="preserve"> </w:t>
      </w:r>
      <w:r w:rsidR="003B6485" w:rsidRPr="00152AF2">
        <w:rPr>
          <w:rFonts w:ascii="Arial" w:hAnsi="Arial" w:cs="Arial"/>
        </w:rPr>
        <w:t xml:space="preserve">Including data rich and data scarce regions in the research will elucidate </w:t>
      </w:r>
      <w:r w:rsidR="00C40E42" w:rsidRPr="00152AF2">
        <w:rPr>
          <w:rFonts w:ascii="Arial" w:hAnsi="Arial" w:cs="Arial"/>
        </w:rPr>
        <w:t xml:space="preserve">challenges and opportunities </w:t>
      </w:r>
      <w:r w:rsidR="002C1322" w:rsidRPr="00152AF2">
        <w:rPr>
          <w:rFonts w:ascii="Arial" w:hAnsi="Arial" w:cs="Arial"/>
        </w:rPr>
        <w:t xml:space="preserve">for </w:t>
      </w:r>
      <w:r w:rsidR="00B73F52" w:rsidRPr="00152AF2">
        <w:rPr>
          <w:rFonts w:ascii="Arial" w:hAnsi="Arial" w:cs="Arial"/>
        </w:rPr>
        <w:t>expanding the</w:t>
      </w:r>
      <w:r w:rsidR="00806B19" w:rsidRPr="00152AF2">
        <w:rPr>
          <w:rFonts w:ascii="Arial" w:hAnsi="Arial" w:cs="Arial"/>
        </w:rPr>
        <w:t xml:space="preserve"> application of the</w:t>
      </w:r>
      <w:r w:rsidR="00B73F52" w:rsidRPr="00152AF2">
        <w:rPr>
          <w:rFonts w:ascii="Arial" w:hAnsi="Arial" w:cs="Arial"/>
        </w:rPr>
        <w:t xml:space="preserve"> dashboard globally. </w:t>
      </w:r>
      <w:r w:rsidR="00792CFF" w:rsidRPr="00152AF2">
        <w:rPr>
          <w:rFonts w:ascii="Arial" w:hAnsi="Arial" w:cs="Arial"/>
        </w:rPr>
        <w:t xml:space="preserve">Selecting field sites with varying </w:t>
      </w:r>
      <w:r w:rsidR="00E51378" w:rsidRPr="00152AF2">
        <w:rPr>
          <w:rFonts w:ascii="Arial" w:hAnsi="Arial" w:cs="Arial"/>
        </w:rPr>
        <w:t xml:space="preserve">sources of </w:t>
      </w:r>
      <w:r w:rsidR="000561AE" w:rsidRPr="00152AF2">
        <w:rPr>
          <w:rFonts w:ascii="Arial" w:hAnsi="Arial" w:cs="Arial"/>
        </w:rPr>
        <w:t>CH</w:t>
      </w:r>
      <w:r w:rsidR="000561AE" w:rsidRPr="00152AF2">
        <w:rPr>
          <w:rFonts w:ascii="Arial" w:hAnsi="Arial" w:cs="Arial"/>
          <w:vertAlign w:val="subscript"/>
        </w:rPr>
        <w:t>4</w:t>
      </w:r>
      <w:r w:rsidR="000561AE" w:rsidRPr="00152AF2">
        <w:rPr>
          <w:rFonts w:ascii="Arial" w:hAnsi="Arial" w:cs="Arial"/>
        </w:rPr>
        <w:t xml:space="preserve"> in data scarce regions (e.g., mining in Ghana and waste sites in Bangladesh) </w:t>
      </w:r>
      <w:r w:rsidR="003B6BBE" w:rsidRPr="00152AF2">
        <w:rPr>
          <w:rFonts w:ascii="Arial" w:hAnsi="Arial" w:cs="Arial"/>
        </w:rPr>
        <w:lastRenderedPageBreak/>
        <w:t xml:space="preserve">will inform </w:t>
      </w:r>
      <w:r w:rsidR="003C5064" w:rsidRPr="00152AF2">
        <w:rPr>
          <w:rFonts w:ascii="Arial" w:hAnsi="Arial" w:cs="Arial"/>
        </w:rPr>
        <w:t xml:space="preserve">dashboard and app development for </w:t>
      </w:r>
      <w:r w:rsidR="001B7C15" w:rsidRPr="00152AF2">
        <w:rPr>
          <w:rFonts w:ascii="Arial" w:hAnsi="Arial" w:cs="Arial"/>
        </w:rPr>
        <w:t xml:space="preserve">methane emitters with </w:t>
      </w:r>
      <w:r w:rsidR="006D7377" w:rsidRPr="00152AF2">
        <w:rPr>
          <w:rFonts w:ascii="Arial" w:hAnsi="Arial" w:cs="Arial"/>
        </w:rPr>
        <w:t>more consistent</w:t>
      </w:r>
      <w:r w:rsidR="00914D5F" w:rsidRPr="00152AF2">
        <w:rPr>
          <w:rFonts w:ascii="Arial" w:hAnsi="Arial" w:cs="Arial"/>
        </w:rPr>
        <w:t xml:space="preserve"> emissions, like waste sites, and with erratic emissions that are difficult to predict, like flares from mining sites. </w:t>
      </w:r>
      <w:r w:rsidR="009031EB" w:rsidRPr="00152AF2">
        <w:rPr>
          <w:rFonts w:ascii="Arial" w:hAnsi="Arial" w:cs="Arial"/>
        </w:rPr>
        <w:t xml:space="preserve">Including the UK as a ‘data rich’ </w:t>
      </w:r>
      <w:r w:rsidR="0091539D" w:rsidRPr="00152AF2">
        <w:rPr>
          <w:rFonts w:ascii="Arial" w:hAnsi="Arial" w:cs="Arial"/>
        </w:rPr>
        <w:t xml:space="preserve">region </w:t>
      </w:r>
      <w:r w:rsidR="0029568A" w:rsidRPr="00152AF2">
        <w:rPr>
          <w:rFonts w:ascii="Arial" w:hAnsi="Arial" w:cs="Arial"/>
        </w:rPr>
        <w:t xml:space="preserve">will inform </w:t>
      </w:r>
      <w:r w:rsidR="00391D6F" w:rsidRPr="00152AF2">
        <w:rPr>
          <w:rFonts w:ascii="Arial" w:hAnsi="Arial" w:cs="Arial"/>
        </w:rPr>
        <w:t>parameters for</w:t>
      </w:r>
      <w:r w:rsidR="00FD459C" w:rsidRPr="00152AF2">
        <w:rPr>
          <w:rFonts w:ascii="Arial" w:hAnsi="Arial" w:cs="Arial"/>
        </w:rPr>
        <w:t xml:space="preserve"> regions with ‘messy’ da</w:t>
      </w:r>
      <w:r w:rsidR="00CC450D" w:rsidRPr="00152AF2">
        <w:rPr>
          <w:rFonts w:ascii="Arial" w:hAnsi="Arial" w:cs="Arial"/>
        </w:rPr>
        <w:t xml:space="preserve">ta </w:t>
      </w:r>
      <w:r w:rsidR="00A32257" w:rsidRPr="00152AF2">
        <w:rPr>
          <w:rFonts w:ascii="Arial" w:hAnsi="Arial" w:cs="Arial"/>
        </w:rPr>
        <w:t xml:space="preserve">and serve as a </w:t>
      </w:r>
      <w:r w:rsidR="00F70DD9" w:rsidRPr="00152AF2">
        <w:rPr>
          <w:rFonts w:ascii="Arial" w:hAnsi="Arial" w:cs="Arial"/>
        </w:rPr>
        <w:t xml:space="preserve">social justice </w:t>
      </w:r>
      <w:r w:rsidR="001031A2" w:rsidRPr="00152AF2">
        <w:rPr>
          <w:rFonts w:ascii="Arial" w:hAnsi="Arial" w:cs="Arial"/>
        </w:rPr>
        <w:t>lobby</w:t>
      </w:r>
      <w:r w:rsidR="00E31D36" w:rsidRPr="00152AF2">
        <w:rPr>
          <w:rFonts w:ascii="Arial" w:hAnsi="Arial" w:cs="Arial"/>
        </w:rPr>
        <w:t xml:space="preserve"> focus for</w:t>
      </w:r>
      <w:r w:rsidR="00102D14" w:rsidRPr="00152AF2">
        <w:rPr>
          <w:rFonts w:ascii="Arial" w:hAnsi="Arial" w:cs="Arial"/>
        </w:rPr>
        <w:t xml:space="preserve"> encouraging </w:t>
      </w:r>
      <w:r w:rsidR="005C146E" w:rsidRPr="00152AF2">
        <w:rPr>
          <w:rFonts w:ascii="Arial" w:hAnsi="Arial" w:cs="Arial"/>
        </w:rPr>
        <w:t>low- and middle-income</w:t>
      </w:r>
      <w:r w:rsidR="007D7D9D" w:rsidRPr="00152AF2">
        <w:rPr>
          <w:rFonts w:ascii="Arial" w:hAnsi="Arial" w:cs="Arial"/>
        </w:rPr>
        <w:t xml:space="preserve"> regions to </w:t>
      </w:r>
      <w:r w:rsidR="00317FD4" w:rsidRPr="00152AF2">
        <w:rPr>
          <w:rFonts w:ascii="Arial" w:hAnsi="Arial" w:cs="Arial"/>
        </w:rPr>
        <w:t>support transparent and trustworthy data science</w:t>
      </w:r>
      <w:r w:rsidR="00E10F0B" w:rsidRPr="00152AF2">
        <w:rPr>
          <w:rFonts w:ascii="Arial" w:hAnsi="Arial" w:cs="Arial"/>
        </w:rPr>
        <w:t xml:space="preserve"> for justice. </w:t>
      </w:r>
    </w:p>
    <w:p w14:paraId="045BDE5D" w14:textId="010B080F" w:rsidR="00A568D5" w:rsidRPr="00152AF2" w:rsidRDefault="00FF604D" w:rsidP="005D1BDF">
      <w:pPr>
        <w:spacing w:after="0"/>
        <w:rPr>
          <w:rFonts w:ascii="Arial" w:hAnsi="Arial" w:cs="Arial"/>
        </w:rPr>
      </w:pPr>
      <w:r w:rsidRPr="00152AF2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05B88FA" wp14:editId="70A7B61F">
                <wp:simplePos x="0" y="0"/>
                <wp:positionH relativeFrom="margin">
                  <wp:align>left</wp:align>
                </wp:positionH>
                <wp:positionV relativeFrom="paragraph">
                  <wp:posOffset>1985010</wp:posOffset>
                </wp:positionV>
                <wp:extent cx="5707380" cy="777240"/>
                <wp:effectExtent l="0" t="0" r="26670" b="2286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15ACC" w14:textId="27CBB788" w:rsidR="000422BB" w:rsidRPr="0049739D" w:rsidRDefault="00F3467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“</w:t>
                            </w:r>
                            <w:r w:rsidR="0049739D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The propos</w:t>
                            </w:r>
                            <w:r w:rsidR="0098783A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al </w:t>
                            </w:r>
                            <w:r w:rsidR="0049739D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(ME-NET) addres</w:t>
                            </w:r>
                            <w:r w:rsidR="00A2468C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ses</w:t>
                            </w:r>
                            <w:r w:rsidR="0049739D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the urgent need to improve methane emissions reporting,</w:t>
                            </w:r>
                            <w:r w:rsidR="0098783A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 w:rsidR="007475C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and </w:t>
                            </w:r>
                            <w:r w:rsidR="0049739D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lobby industry to collaborate</w:t>
                            </w:r>
                            <w:r w:rsidR="007475CD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.</w:t>
                            </w:r>
                            <w:r w:rsidR="0049739D" w:rsidRPr="005E5684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The research will make an immense contribution to Ghana’s efforts toward our Nationally Determined Contributions (NDCs) and combating the impacts of climate change</w:t>
                            </w:r>
                            <w:r w:rsidR="0049739D" w:rsidRPr="0049739D">
                              <w:rPr>
                                <w:rFonts w:ascii="Arial" w:hAnsi="Arial" w:cs="Arial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</w:rPr>
                              <w:t>” (Dr</w:t>
                            </w:r>
                            <w:r w:rsidR="005E568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5E5684" w:rsidRPr="005E5684">
                              <w:rPr>
                                <w:rFonts w:ascii="Arial" w:hAnsi="Arial" w:cs="Arial"/>
                              </w:rPr>
                              <w:t>Amankwaa</w:t>
                            </w:r>
                            <w:r w:rsidR="005E5684">
                              <w:rPr>
                                <w:rFonts w:ascii="Arial" w:hAnsi="Arial" w:cs="Arial"/>
                              </w:rPr>
                              <w:t>, University of Ghana</w:t>
                            </w:r>
                            <w:r w:rsidR="00D7265E">
                              <w:rPr>
                                <w:rFonts w:ascii="Arial" w:hAnsi="Arial" w:cs="Arial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B88FA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156.3pt;width:449.4pt;height:61.2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" strokecolor="#404040 [2429]" strokeweight="1.5pt">
                <v:textbox>
                  <w:txbxContent>
                    <w:p w14:paraId="01C15ACC" w14:textId="27CBB788" w:rsidR="000422BB" w:rsidRPr="0049739D" w:rsidRDefault="00F3467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“</w:t>
                      </w:r>
                      <w:r w:rsidR="0049739D" w:rsidRPr="005E5684">
                        <w:rPr>
                          <w:rFonts w:ascii="Arial" w:hAnsi="Arial" w:cs="Arial"/>
                          <w:i/>
                          <w:iCs/>
                        </w:rPr>
                        <w:t>The propos</w:t>
                      </w:r>
                      <w:r w:rsidR="0098783A" w:rsidRPr="005E5684">
                        <w:rPr>
                          <w:rFonts w:ascii="Arial" w:hAnsi="Arial" w:cs="Arial"/>
                          <w:i/>
                          <w:iCs/>
                        </w:rPr>
                        <w:t xml:space="preserve">al </w:t>
                      </w:r>
                      <w:r w:rsidR="0049739D" w:rsidRPr="005E5684">
                        <w:rPr>
                          <w:rFonts w:ascii="Arial" w:hAnsi="Arial" w:cs="Arial"/>
                          <w:i/>
                          <w:iCs/>
                        </w:rPr>
                        <w:t>(ME-NET) addres</w:t>
                      </w:r>
                      <w:r w:rsidR="00A2468C">
                        <w:rPr>
                          <w:rFonts w:ascii="Arial" w:hAnsi="Arial" w:cs="Arial"/>
                          <w:i/>
                          <w:iCs/>
                        </w:rPr>
                        <w:t>ses</w:t>
                      </w:r>
                      <w:r w:rsidR="0049739D" w:rsidRPr="005E5684">
                        <w:rPr>
                          <w:rFonts w:ascii="Arial" w:hAnsi="Arial" w:cs="Arial"/>
                          <w:i/>
                          <w:iCs/>
                        </w:rPr>
                        <w:t xml:space="preserve"> the urgent need to improve methane emissions reporting,</w:t>
                      </w:r>
                      <w:r w:rsidR="0098783A" w:rsidRPr="005E5684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 w:rsidR="007475CD">
                        <w:rPr>
                          <w:rFonts w:ascii="Arial" w:hAnsi="Arial" w:cs="Arial"/>
                          <w:i/>
                          <w:iCs/>
                        </w:rPr>
                        <w:t xml:space="preserve">and </w:t>
                      </w:r>
                      <w:r w:rsidR="0049739D" w:rsidRPr="005E5684">
                        <w:rPr>
                          <w:rFonts w:ascii="Arial" w:hAnsi="Arial" w:cs="Arial"/>
                          <w:i/>
                          <w:iCs/>
                        </w:rPr>
                        <w:t>lobby industry to collaborate</w:t>
                      </w:r>
                      <w:r w:rsidR="007475CD">
                        <w:rPr>
                          <w:rFonts w:ascii="Arial" w:hAnsi="Arial" w:cs="Arial"/>
                          <w:i/>
                          <w:iCs/>
                        </w:rPr>
                        <w:t>.</w:t>
                      </w:r>
                      <w:r w:rsidR="0049739D" w:rsidRPr="005E5684">
                        <w:rPr>
                          <w:rFonts w:ascii="Arial" w:hAnsi="Arial" w:cs="Arial"/>
                          <w:i/>
                          <w:iCs/>
                        </w:rPr>
                        <w:t xml:space="preserve"> The research will make an immense contribution to Ghana’s efforts toward our Nationally Determined Contributions (NDCs) and combating the impacts of climate change</w:t>
                      </w:r>
                      <w:r w:rsidR="0049739D" w:rsidRPr="0049739D">
                        <w:rPr>
                          <w:rFonts w:ascii="Arial" w:hAnsi="Arial" w:cs="Arial"/>
                        </w:rPr>
                        <w:t>.</w:t>
                      </w:r>
                      <w:r>
                        <w:rPr>
                          <w:rFonts w:ascii="Arial" w:hAnsi="Arial" w:cs="Arial"/>
                        </w:rPr>
                        <w:t>” (Dr</w:t>
                      </w:r>
                      <w:r w:rsidR="005E5684">
                        <w:rPr>
                          <w:rFonts w:ascii="Arial" w:hAnsi="Arial" w:cs="Arial"/>
                        </w:rPr>
                        <w:t xml:space="preserve"> </w:t>
                      </w:r>
                      <w:r w:rsidR="005E5684" w:rsidRPr="005E5684">
                        <w:rPr>
                          <w:rFonts w:ascii="Arial" w:hAnsi="Arial" w:cs="Arial"/>
                        </w:rPr>
                        <w:t>Amankwaa</w:t>
                      </w:r>
                      <w:r w:rsidR="005E5684">
                        <w:rPr>
                          <w:rFonts w:ascii="Arial" w:hAnsi="Arial" w:cs="Arial"/>
                        </w:rPr>
                        <w:t>, University of Ghana</w:t>
                      </w:r>
                      <w:r w:rsidR="00D7265E">
                        <w:rPr>
                          <w:rFonts w:ascii="Arial" w:hAnsi="Arial" w:cs="Arial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343" w:rsidRPr="00152AF2">
        <w:rPr>
          <w:rFonts w:ascii="Arial" w:hAnsi="Arial" w:cs="Arial"/>
        </w:rPr>
        <w:tab/>
      </w:r>
      <w:r w:rsidR="00B13343" w:rsidRPr="00152AF2">
        <w:rPr>
          <w:rFonts w:ascii="Arial" w:hAnsi="Arial" w:cs="Arial"/>
          <w:b/>
          <w:bCs/>
        </w:rPr>
        <w:t>R</w:t>
      </w:r>
      <w:r w:rsidR="00B13343" w:rsidRPr="00152AF2">
        <w:rPr>
          <w:rFonts w:ascii="Arial" w:hAnsi="Arial" w:cs="Arial"/>
          <w:b/>
          <w:bCs/>
          <w:u w:val="single"/>
        </w:rPr>
        <w:t xml:space="preserve">esearch </w:t>
      </w:r>
      <w:r w:rsidR="001D783E" w:rsidRPr="00152AF2">
        <w:rPr>
          <w:rFonts w:ascii="Arial" w:hAnsi="Arial" w:cs="Arial"/>
          <w:b/>
          <w:bCs/>
          <w:u w:val="single"/>
        </w:rPr>
        <w:t xml:space="preserve">environment &amp; </w:t>
      </w:r>
      <w:r w:rsidR="00B13343" w:rsidRPr="00152AF2">
        <w:rPr>
          <w:rFonts w:ascii="Arial" w:hAnsi="Arial" w:cs="Arial"/>
          <w:b/>
          <w:bCs/>
          <w:u w:val="single"/>
        </w:rPr>
        <w:t>partners:</w:t>
      </w:r>
      <w:r w:rsidR="00B13343" w:rsidRPr="00152AF2">
        <w:rPr>
          <w:rFonts w:ascii="Arial" w:hAnsi="Arial" w:cs="Arial"/>
        </w:rPr>
        <w:t xml:space="preserve"> The research will be delivered</w:t>
      </w:r>
      <w:r w:rsidR="002878BD" w:rsidRPr="00152AF2">
        <w:rPr>
          <w:rFonts w:ascii="Arial" w:hAnsi="Arial" w:cs="Arial"/>
        </w:rPr>
        <w:t xml:space="preserve"> by our demographically and career-stage diverse team,</w:t>
      </w:r>
      <w:r w:rsidR="00B13343" w:rsidRPr="00152AF2">
        <w:rPr>
          <w:rFonts w:ascii="Arial" w:hAnsi="Arial" w:cs="Arial"/>
        </w:rPr>
        <w:t xml:space="preserve"> in collaboration with </w:t>
      </w:r>
      <w:r w:rsidR="007828F3" w:rsidRPr="00152AF2">
        <w:rPr>
          <w:rFonts w:ascii="Arial" w:hAnsi="Arial" w:cs="Arial"/>
        </w:rPr>
        <w:t xml:space="preserve">local (Lincolnshire and UK) </w:t>
      </w:r>
      <w:r w:rsidR="00115B86" w:rsidRPr="00152AF2">
        <w:rPr>
          <w:rFonts w:ascii="Arial" w:hAnsi="Arial" w:cs="Arial"/>
        </w:rPr>
        <w:t xml:space="preserve">and international </w:t>
      </w:r>
      <w:r w:rsidR="00B13343" w:rsidRPr="00152AF2">
        <w:rPr>
          <w:rFonts w:ascii="Arial" w:hAnsi="Arial" w:cs="Arial"/>
        </w:rPr>
        <w:t xml:space="preserve">partners who will facilitate access to existing stakeholder groups to inform prototype co-design and development. </w:t>
      </w:r>
      <w:r w:rsidR="00617F4E" w:rsidRPr="00152AF2">
        <w:rPr>
          <w:rFonts w:ascii="Arial" w:hAnsi="Arial" w:cs="Arial"/>
        </w:rPr>
        <w:t xml:space="preserve">Established researchers (MG, </w:t>
      </w:r>
      <w:r w:rsidR="007D6142" w:rsidRPr="00152AF2">
        <w:rPr>
          <w:rFonts w:ascii="Arial" w:hAnsi="Arial" w:cs="Arial"/>
        </w:rPr>
        <w:t xml:space="preserve">NS) </w:t>
      </w:r>
      <w:r w:rsidR="009C5954" w:rsidRPr="00152AF2">
        <w:rPr>
          <w:rFonts w:ascii="Arial" w:hAnsi="Arial" w:cs="Arial"/>
        </w:rPr>
        <w:t>will mentor ECRs (HM, JA)</w:t>
      </w:r>
      <w:r w:rsidR="0081084A" w:rsidRPr="00152AF2">
        <w:rPr>
          <w:rFonts w:ascii="Arial" w:hAnsi="Arial" w:cs="Arial"/>
        </w:rPr>
        <w:t xml:space="preserve"> to </w:t>
      </w:r>
      <w:r w:rsidR="00293C79" w:rsidRPr="00152AF2">
        <w:rPr>
          <w:rFonts w:ascii="Arial" w:hAnsi="Arial" w:cs="Arial"/>
        </w:rPr>
        <w:t>facilitate</w:t>
      </w:r>
      <w:r w:rsidR="0081084A" w:rsidRPr="00152AF2">
        <w:rPr>
          <w:rFonts w:ascii="Arial" w:hAnsi="Arial" w:cs="Arial"/>
        </w:rPr>
        <w:t xml:space="preserve"> </w:t>
      </w:r>
      <w:r w:rsidR="002713FE" w:rsidRPr="00152AF2">
        <w:rPr>
          <w:rFonts w:ascii="Arial" w:hAnsi="Arial" w:cs="Arial"/>
        </w:rPr>
        <w:t>in</w:t>
      </w:r>
      <w:r w:rsidR="00EC0A62" w:rsidRPr="00152AF2">
        <w:rPr>
          <w:rFonts w:ascii="Arial" w:hAnsi="Arial" w:cs="Arial"/>
        </w:rPr>
        <w:t>ternational partnerships</w:t>
      </w:r>
      <w:r w:rsidR="00573783" w:rsidRPr="00152AF2">
        <w:rPr>
          <w:rFonts w:ascii="Arial" w:hAnsi="Arial" w:cs="Arial"/>
        </w:rPr>
        <w:t xml:space="preserve">, </w:t>
      </w:r>
      <w:r w:rsidR="0052405B" w:rsidRPr="00152AF2">
        <w:rPr>
          <w:rFonts w:ascii="Arial" w:hAnsi="Arial" w:cs="Arial"/>
        </w:rPr>
        <w:t>enabling</w:t>
      </w:r>
      <w:r w:rsidR="005F3AC2" w:rsidRPr="00152AF2">
        <w:rPr>
          <w:rFonts w:ascii="Arial" w:hAnsi="Arial" w:cs="Arial"/>
        </w:rPr>
        <w:t xml:space="preserve"> skill and knowledge transfer within and beyond the research team. </w:t>
      </w:r>
      <w:r w:rsidR="00115B86" w:rsidRPr="00152AF2">
        <w:rPr>
          <w:rFonts w:ascii="Arial" w:hAnsi="Arial" w:cs="Arial"/>
        </w:rPr>
        <w:t xml:space="preserve">Our </w:t>
      </w:r>
      <w:r w:rsidR="00DA0193" w:rsidRPr="00152AF2">
        <w:rPr>
          <w:rFonts w:ascii="Arial" w:hAnsi="Arial" w:cs="Arial"/>
        </w:rPr>
        <w:t>national</w:t>
      </w:r>
      <w:r w:rsidR="00115B86" w:rsidRPr="00152AF2">
        <w:rPr>
          <w:rFonts w:ascii="Arial" w:hAnsi="Arial" w:cs="Arial"/>
        </w:rPr>
        <w:t xml:space="preserve"> partners include The Met Office</w:t>
      </w:r>
      <w:r w:rsidR="00DA0193" w:rsidRPr="00152AF2">
        <w:rPr>
          <w:rFonts w:ascii="Arial" w:hAnsi="Arial" w:cs="Arial"/>
        </w:rPr>
        <w:t xml:space="preserve">, an HEI consortium (Loughborough, Essex, </w:t>
      </w:r>
      <w:proofErr w:type="gramStart"/>
      <w:r w:rsidR="00DA0193" w:rsidRPr="00152AF2">
        <w:rPr>
          <w:rFonts w:ascii="Arial" w:hAnsi="Arial" w:cs="Arial"/>
        </w:rPr>
        <w:t>Northumbria</w:t>
      </w:r>
      <w:proofErr w:type="gramEnd"/>
      <w:r w:rsidR="00DA0193" w:rsidRPr="00152AF2">
        <w:rPr>
          <w:rFonts w:ascii="Arial" w:hAnsi="Arial" w:cs="Arial"/>
        </w:rPr>
        <w:t xml:space="preserve"> and Lincoln), and regional PPIE groups (e.g., </w:t>
      </w:r>
      <w:proofErr w:type="spellStart"/>
      <w:r w:rsidR="00853BC2" w:rsidRPr="00152AF2">
        <w:rPr>
          <w:rFonts w:ascii="Arial" w:hAnsi="Arial" w:cs="Arial"/>
        </w:rPr>
        <w:t>CaHRU’s</w:t>
      </w:r>
      <w:proofErr w:type="spellEnd"/>
      <w:r w:rsidR="00853BC2" w:rsidRPr="00152AF2">
        <w:rPr>
          <w:rFonts w:ascii="Arial" w:hAnsi="Arial" w:cs="Arial"/>
        </w:rPr>
        <w:t xml:space="preserve"> H</w:t>
      </w:r>
      <w:r w:rsidR="007C22A8" w:rsidRPr="00152AF2">
        <w:rPr>
          <w:rFonts w:ascii="Arial" w:hAnsi="Arial" w:cs="Arial"/>
        </w:rPr>
        <w:t>APPI</w:t>
      </w:r>
      <w:r w:rsidR="00853BC2" w:rsidRPr="00152AF2">
        <w:rPr>
          <w:rFonts w:ascii="Arial" w:hAnsi="Arial" w:cs="Arial"/>
        </w:rPr>
        <w:t xml:space="preserve"> Group </w:t>
      </w:r>
      <w:r w:rsidR="00DA0193" w:rsidRPr="00152AF2">
        <w:rPr>
          <w:rFonts w:ascii="Arial" w:hAnsi="Arial" w:cs="Arial"/>
        </w:rPr>
        <w:t>in Lincolnshire</w:t>
      </w:r>
      <w:r w:rsidR="00853BC2" w:rsidRPr="00152AF2">
        <w:rPr>
          <w:rFonts w:ascii="Arial" w:hAnsi="Arial" w:cs="Arial"/>
        </w:rPr>
        <w:t xml:space="preserve">). </w:t>
      </w:r>
      <w:r w:rsidR="00B13343" w:rsidRPr="00152AF2">
        <w:rPr>
          <w:rFonts w:ascii="Arial" w:hAnsi="Arial" w:cs="Arial"/>
        </w:rPr>
        <w:t xml:space="preserve">Our </w:t>
      </w:r>
      <w:r w:rsidR="00115B86" w:rsidRPr="00152AF2">
        <w:rPr>
          <w:rFonts w:ascii="Arial" w:hAnsi="Arial" w:cs="Arial"/>
        </w:rPr>
        <w:t xml:space="preserve">international </w:t>
      </w:r>
      <w:r w:rsidR="00B13343" w:rsidRPr="00152AF2">
        <w:rPr>
          <w:rFonts w:ascii="Arial" w:hAnsi="Arial" w:cs="Arial"/>
        </w:rPr>
        <w:t>partners in Bangladesh include the International Institute for Diarrheal and Disease Research</w:t>
      </w:r>
      <w:r w:rsidR="009838FE" w:rsidRPr="00152AF2">
        <w:rPr>
          <w:rFonts w:ascii="Arial" w:hAnsi="Arial" w:cs="Arial"/>
        </w:rPr>
        <w:t>,</w:t>
      </w:r>
      <w:r w:rsidR="00B13343" w:rsidRPr="00152AF2">
        <w:rPr>
          <w:rFonts w:ascii="Arial" w:hAnsi="Arial" w:cs="Arial"/>
        </w:rPr>
        <w:t xml:space="preserve"> specialis</w:t>
      </w:r>
      <w:r w:rsidR="009838FE" w:rsidRPr="00152AF2">
        <w:rPr>
          <w:rFonts w:ascii="Arial" w:hAnsi="Arial" w:cs="Arial"/>
        </w:rPr>
        <w:t>ing</w:t>
      </w:r>
      <w:r w:rsidR="00B13343" w:rsidRPr="00152AF2">
        <w:rPr>
          <w:rFonts w:ascii="Arial" w:hAnsi="Arial" w:cs="Arial"/>
        </w:rPr>
        <w:t xml:space="preserve"> in respiratory infection research (regional co-lead: Dr Shehrin Mahmood). Our partners in Ghana include the University of Ghana (regional co-lead: Dr Ebenezer Amankwaa).</w:t>
      </w:r>
      <w:r w:rsidR="00B13343" w:rsidRPr="00152AF2">
        <w:rPr>
          <w:rFonts w:ascii="Arial" w:hAnsi="Arial" w:cs="Arial"/>
        </w:rPr>
        <w:tab/>
      </w:r>
    </w:p>
    <w:p w14:paraId="06AB13F8" w14:textId="0007FF5F" w:rsidR="00D5636E" w:rsidRPr="00152AF2" w:rsidRDefault="005F3AC2" w:rsidP="00A568D5">
      <w:pPr>
        <w:spacing w:after="0"/>
        <w:ind w:firstLine="720"/>
        <w:rPr>
          <w:rFonts w:ascii="Arial" w:hAnsi="Arial" w:cs="Arial"/>
        </w:rPr>
      </w:pPr>
      <w:r w:rsidRPr="00152AF2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FBEB107" wp14:editId="34138AD7">
                <wp:simplePos x="0" y="0"/>
                <wp:positionH relativeFrom="margin">
                  <wp:align>left</wp:align>
                </wp:positionH>
                <wp:positionV relativeFrom="paragraph">
                  <wp:posOffset>2518410</wp:posOffset>
                </wp:positionV>
                <wp:extent cx="5707380" cy="449580"/>
                <wp:effectExtent l="0" t="0" r="2667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67BA0" w14:textId="39F58493" w:rsidR="007475CD" w:rsidRPr="0049739D" w:rsidRDefault="007475CD" w:rsidP="0026409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“</w:t>
                            </w:r>
                            <w:r w:rsidR="00B87246" w:rsidRP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Establishing a </w:t>
                            </w:r>
                            <w:r w:rsidRP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network to promote social and ecological justice related to the health impacts of methane in </w:t>
                            </w:r>
                            <w:r w:rsidR="00B87246" w:rsidRP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Bangladesh is a critical </w:t>
                            </w:r>
                            <w:r w:rsidR="00264098" w:rsidRP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priority.</w:t>
                            </w:r>
                            <w:r w:rsidRP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>”</w:t>
                            </w:r>
                            <w:r w:rsidR="00264098">
                              <w:rPr>
                                <w:rFonts w:ascii="Arial" w:hAnsi="Arial" w:cs="Arial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(Dr </w:t>
                            </w:r>
                            <w:r w:rsidR="00AF3B98">
                              <w:rPr>
                                <w:rFonts w:ascii="Arial" w:hAnsi="Arial" w:cs="Arial"/>
                              </w:rPr>
                              <w:t>Mahmood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AF3B9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997F46">
                              <w:rPr>
                                <w:rFonts w:ascii="Arial" w:hAnsi="Arial" w:cs="Arial"/>
                              </w:rPr>
                              <w:t>ICDDRB</w:t>
                            </w:r>
                            <w:r>
                              <w:rPr>
                                <w:rFonts w:ascii="Arial" w:hAnsi="Arial" w:cs="Arial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B107" id="Text Box 2" o:spid="_x0000_s1027" type="#_x0000_t202" style="position:absolute;left:0;text-align:left;margin-left:0;margin-top:198.3pt;width:449.4pt;height:35.4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" strokecolor="#404040 [2429]" strokeweight="1.5pt">
                <v:textbox>
                  <w:txbxContent>
                    <w:p w14:paraId="29E67BA0" w14:textId="39F58493" w:rsidR="007475CD" w:rsidRPr="0049739D" w:rsidRDefault="007475CD" w:rsidP="0026409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264098">
                        <w:rPr>
                          <w:rFonts w:ascii="Arial" w:hAnsi="Arial" w:cs="Arial"/>
                          <w:i/>
                          <w:iCs/>
                        </w:rPr>
                        <w:t>“</w:t>
                      </w:r>
                      <w:r w:rsidR="00B87246" w:rsidRPr="00264098">
                        <w:rPr>
                          <w:rFonts w:ascii="Arial" w:hAnsi="Arial" w:cs="Arial"/>
                          <w:i/>
                          <w:iCs/>
                        </w:rPr>
                        <w:t xml:space="preserve">Establishing a </w:t>
                      </w:r>
                      <w:r w:rsidRPr="00264098">
                        <w:rPr>
                          <w:rFonts w:ascii="Arial" w:hAnsi="Arial" w:cs="Arial"/>
                          <w:i/>
                          <w:iCs/>
                        </w:rPr>
                        <w:t xml:space="preserve">network to promote social and ecological justice related to the health impacts of methane in </w:t>
                      </w:r>
                      <w:r w:rsidR="00B87246" w:rsidRPr="00264098">
                        <w:rPr>
                          <w:rFonts w:ascii="Arial" w:hAnsi="Arial" w:cs="Arial"/>
                          <w:i/>
                          <w:iCs/>
                        </w:rPr>
                        <w:t xml:space="preserve">Bangladesh is a critical </w:t>
                      </w:r>
                      <w:r w:rsidR="00264098" w:rsidRPr="00264098">
                        <w:rPr>
                          <w:rFonts w:ascii="Arial" w:hAnsi="Arial" w:cs="Arial"/>
                          <w:i/>
                          <w:iCs/>
                        </w:rPr>
                        <w:t>priority.</w:t>
                      </w:r>
                      <w:r w:rsidRPr="00264098">
                        <w:rPr>
                          <w:rFonts w:ascii="Arial" w:hAnsi="Arial" w:cs="Arial"/>
                          <w:i/>
                          <w:iCs/>
                        </w:rPr>
                        <w:t>”</w:t>
                      </w:r>
                      <w:r w:rsidR="00264098">
                        <w:rPr>
                          <w:rFonts w:ascii="Arial" w:hAnsi="Arial" w:cs="Arial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(Dr </w:t>
                      </w:r>
                      <w:r w:rsidR="00AF3B98">
                        <w:rPr>
                          <w:rFonts w:ascii="Arial" w:hAnsi="Arial" w:cs="Arial"/>
                        </w:rPr>
                        <w:t>Mahmood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AF3B98">
                        <w:rPr>
                          <w:rFonts w:ascii="Arial" w:hAnsi="Arial" w:cs="Arial"/>
                        </w:rPr>
                        <w:t xml:space="preserve"> </w:t>
                      </w:r>
                      <w:r w:rsidR="00997F46">
                        <w:rPr>
                          <w:rFonts w:ascii="Arial" w:hAnsi="Arial" w:cs="Arial"/>
                        </w:rPr>
                        <w:t>ICDDRB</w:t>
                      </w:r>
                      <w:r>
                        <w:rPr>
                          <w:rFonts w:ascii="Arial" w:hAnsi="Arial" w:cs="Arial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3343" w:rsidRPr="00152AF2">
        <w:rPr>
          <w:rFonts w:ascii="Arial" w:hAnsi="Arial" w:cs="Arial"/>
          <w:b/>
          <w:bCs/>
          <w:u w:val="single"/>
        </w:rPr>
        <w:t>Stakeholder Engagement</w:t>
      </w:r>
      <w:r w:rsidR="00D5636E" w:rsidRPr="00152AF2">
        <w:rPr>
          <w:rFonts w:ascii="Arial" w:hAnsi="Arial" w:cs="Arial"/>
          <w:u w:val="single"/>
        </w:rPr>
        <w:t>:</w:t>
      </w:r>
      <w:r w:rsidR="003E3527" w:rsidRPr="00152AF2">
        <w:rPr>
          <w:rFonts w:ascii="Arial" w:hAnsi="Arial" w:cs="Arial"/>
        </w:rPr>
        <w:t xml:space="preserve"> Regional policy makers,</w:t>
      </w:r>
      <w:r w:rsidR="00674BAE" w:rsidRPr="00152AF2">
        <w:rPr>
          <w:rFonts w:ascii="Arial" w:hAnsi="Arial" w:cs="Arial"/>
        </w:rPr>
        <w:t xml:space="preserve"> industry representatives,</w:t>
      </w:r>
      <w:r w:rsidR="003E3527" w:rsidRPr="00152AF2">
        <w:rPr>
          <w:rFonts w:ascii="Arial" w:hAnsi="Arial" w:cs="Arial"/>
        </w:rPr>
        <w:t xml:space="preserve"> clinical practitioners</w:t>
      </w:r>
      <w:r w:rsidR="00C42800" w:rsidRPr="00152AF2">
        <w:rPr>
          <w:rFonts w:ascii="Arial" w:hAnsi="Arial" w:cs="Arial"/>
        </w:rPr>
        <w:t xml:space="preserve">, </w:t>
      </w:r>
      <w:r w:rsidR="003E3527" w:rsidRPr="00152AF2">
        <w:rPr>
          <w:rFonts w:ascii="Arial" w:hAnsi="Arial" w:cs="Arial"/>
        </w:rPr>
        <w:t xml:space="preserve">operators of clinical services, and patient </w:t>
      </w:r>
      <w:r w:rsidR="003B1C9D" w:rsidRPr="00152AF2">
        <w:rPr>
          <w:rFonts w:ascii="Arial" w:hAnsi="Arial" w:cs="Arial"/>
        </w:rPr>
        <w:t xml:space="preserve">public involvement and engagement groups (PPIE) will be engaged to inform the </w:t>
      </w:r>
      <w:r w:rsidR="00E74848" w:rsidRPr="00152AF2">
        <w:rPr>
          <w:rFonts w:ascii="Arial" w:hAnsi="Arial" w:cs="Arial"/>
        </w:rPr>
        <w:t xml:space="preserve">co-design </w:t>
      </w:r>
      <w:r w:rsidR="003B1C9D" w:rsidRPr="00152AF2">
        <w:rPr>
          <w:rFonts w:ascii="Arial" w:hAnsi="Arial" w:cs="Arial"/>
        </w:rPr>
        <w:t>of prototypes for each region</w:t>
      </w:r>
      <w:r w:rsidR="00F97659" w:rsidRPr="00152AF2">
        <w:rPr>
          <w:rFonts w:ascii="Arial" w:hAnsi="Arial" w:cs="Arial"/>
        </w:rPr>
        <w:t xml:space="preserve"> through a series of ‘innovation </w:t>
      </w:r>
      <w:proofErr w:type="gramStart"/>
      <w:r w:rsidR="00F97659" w:rsidRPr="00152AF2">
        <w:rPr>
          <w:rFonts w:ascii="Arial" w:hAnsi="Arial" w:cs="Arial"/>
        </w:rPr>
        <w:t>labs’</w:t>
      </w:r>
      <w:proofErr w:type="gramEnd"/>
      <w:r w:rsidR="003B1C9D" w:rsidRPr="00152AF2">
        <w:rPr>
          <w:rFonts w:ascii="Arial" w:hAnsi="Arial" w:cs="Arial"/>
        </w:rPr>
        <w:t xml:space="preserve">. </w:t>
      </w:r>
      <w:r w:rsidR="009F77AE" w:rsidRPr="00152AF2">
        <w:rPr>
          <w:rFonts w:ascii="Arial" w:hAnsi="Arial" w:cs="Arial"/>
        </w:rPr>
        <w:t>A</w:t>
      </w:r>
      <w:r w:rsidR="00984A52" w:rsidRPr="00152AF2">
        <w:rPr>
          <w:rFonts w:ascii="Arial" w:hAnsi="Arial" w:cs="Arial"/>
        </w:rPr>
        <w:t>n engagement board will be established including representatives from each of two/three regions</w:t>
      </w:r>
      <w:r w:rsidR="00954F14" w:rsidRPr="00152AF2">
        <w:rPr>
          <w:rFonts w:ascii="Arial" w:hAnsi="Arial" w:cs="Arial"/>
        </w:rPr>
        <w:t xml:space="preserve">. </w:t>
      </w:r>
      <w:r w:rsidR="00891D75" w:rsidRPr="00152AF2">
        <w:rPr>
          <w:rFonts w:ascii="Arial" w:hAnsi="Arial" w:cs="Arial"/>
        </w:rPr>
        <w:t xml:space="preserve">The research employs </w:t>
      </w:r>
      <w:r w:rsidR="0099467B" w:rsidRPr="00152AF2">
        <w:rPr>
          <w:rFonts w:ascii="Arial" w:hAnsi="Arial" w:cs="Arial"/>
        </w:rPr>
        <w:t xml:space="preserve">UX/UI designers </w:t>
      </w:r>
      <w:r w:rsidR="002F2B92" w:rsidRPr="00152AF2">
        <w:rPr>
          <w:rFonts w:ascii="Arial" w:hAnsi="Arial" w:cs="Arial"/>
        </w:rPr>
        <w:t>w</w:t>
      </w:r>
      <w:r w:rsidR="00F956F4" w:rsidRPr="00152AF2">
        <w:rPr>
          <w:rFonts w:ascii="Arial" w:hAnsi="Arial" w:cs="Arial"/>
        </w:rPr>
        <w:t>ith specific sustainability and ethical ethos</w:t>
      </w:r>
      <w:r w:rsidR="00891D75" w:rsidRPr="00152AF2">
        <w:rPr>
          <w:rFonts w:ascii="Arial" w:hAnsi="Arial" w:cs="Arial"/>
        </w:rPr>
        <w:t>, including prioritising, “</w:t>
      </w:r>
      <w:r w:rsidR="00891D75" w:rsidRPr="00152AF2">
        <w:rPr>
          <w:rFonts w:ascii="Arial" w:hAnsi="Arial" w:cs="Arial"/>
          <w:i/>
          <w:iCs/>
        </w:rPr>
        <w:t>creative and longer-lasting human-centred solutions to meet real global needs</w:t>
      </w:r>
      <w:r w:rsidR="00891D75" w:rsidRPr="00152AF2">
        <w:rPr>
          <w:rFonts w:ascii="Arial" w:hAnsi="Arial" w:cs="Arial"/>
        </w:rPr>
        <w:t xml:space="preserve">” </w:t>
      </w:r>
      <w:r w:rsidR="00F956F4" w:rsidRPr="00152AF2">
        <w:rPr>
          <w:rFonts w:ascii="Arial" w:hAnsi="Arial" w:cs="Arial"/>
        </w:rPr>
        <w:t>(</w:t>
      </w:r>
      <w:r w:rsidR="00D7353B" w:rsidRPr="00152AF2">
        <w:rPr>
          <w:rFonts w:ascii="Arial" w:hAnsi="Arial" w:cs="Arial"/>
        </w:rPr>
        <w:t>Ethical Design Co.)</w:t>
      </w:r>
      <w:r w:rsidR="00891D75" w:rsidRPr="00152AF2">
        <w:rPr>
          <w:rFonts w:ascii="Arial" w:hAnsi="Arial" w:cs="Arial"/>
        </w:rPr>
        <w:t xml:space="preserve">. An Ethical Design Co. representative will </w:t>
      </w:r>
      <w:r w:rsidR="00F430FA" w:rsidRPr="00152AF2">
        <w:rPr>
          <w:rFonts w:ascii="Arial" w:hAnsi="Arial" w:cs="Arial"/>
        </w:rPr>
        <w:t>attend</w:t>
      </w:r>
      <w:r w:rsidR="00891D75" w:rsidRPr="00152AF2">
        <w:rPr>
          <w:rFonts w:ascii="Arial" w:hAnsi="Arial" w:cs="Arial"/>
        </w:rPr>
        <w:t xml:space="preserve"> </w:t>
      </w:r>
      <w:r w:rsidR="00027CAA" w:rsidRPr="00152AF2">
        <w:rPr>
          <w:rFonts w:ascii="Arial" w:hAnsi="Arial" w:cs="Arial"/>
        </w:rPr>
        <w:t xml:space="preserve">in-person </w:t>
      </w:r>
      <w:r w:rsidR="00891D75" w:rsidRPr="00152AF2">
        <w:rPr>
          <w:rFonts w:ascii="Arial" w:hAnsi="Arial" w:cs="Arial"/>
        </w:rPr>
        <w:t xml:space="preserve">co-design </w:t>
      </w:r>
      <w:r w:rsidR="00F97659" w:rsidRPr="00152AF2">
        <w:rPr>
          <w:rFonts w:ascii="Arial" w:hAnsi="Arial" w:cs="Arial"/>
        </w:rPr>
        <w:t>‘innovation</w:t>
      </w:r>
      <w:r w:rsidR="00891D75" w:rsidRPr="00152AF2">
        <w:rPr>
          <w:rFonts w:ascii="Arial" w:hAnsi="Arial" w:cs="Arial"/>
        </w:rPr>
        <w:t xml:space="preserve"> labs</w:t>
      </w:r>
      <w:r w:rsidR="00F97659" w:rsidRPr="00152AF2">
        <w:rPr>
          <w:rFonts w:ascii="Arial" w:hAnsi="Arial" w:cs="Arial"/>
        </w:rPr>
        <w:t>’ to ensure th</w:t>
      </w:r>
      <w:r w:rsidR="002148B8" w:rsidRPr="00152AF2">
        <w:rPr>
          <w:rFonts w:ascii="Arial" w:hAnsi="Arial" w:cs="Arial"/>
        </w:rPr>
        <w:t xml:space="preserve">at user </w:t>
      </w:r>
      <w:r w:rsidR="007333DF" w:rsidRPr="00152AF2">
        <w:rPr>
          <w:rFonts w:ascii="Arial" w:hAnsi="Arial" w:cs="Arial"/>
        </w:rPr>
        <w:t xml:space="preserve">functions are </w:t>
      </w:r>
      <w:r w:rsidR="006E3DF7" w:rsidRPr="00152AF2">
        <w:rPr>
          <w:rFonts w:ascii="Arial" w:hAnsi="Arial" w:cs="Arial"/>
        </w:rPr>
        <w:t>co-</w:t>
      </w:r>
      <w:r w:rsidR="007333DF" w:rsidRPr="00152AF2">
        <w:rPr>
          <w:rFonts w:ascii="Arial" w:hAnsi="Arial" w:cs="Arial"/>
        </w:rPr>
        <w:t>developed with communities</w:t>
      </w:r>
      <w:r w:rsidR="009A454D" w:rsidRPr="00152AF2">
        <w:rPr>
          <w:rFonts w:ascii="Arial" w:hAnsi="Arial" w:cs="Arial"/>
        </w:rPr>
        <w:t xml:space="preserve"> for region</w:t>
      </w:r>
      <w:r w:rsidR="008070FE" w:rsidRPr="00152AF2">
        <w:rPr>
          <w:rFonts w:ascii="Arial" w:hAnsi="Arial" w:cs="Arial"/>
        </w:rPr>
        <w:t>al</w:t>
      </w:r>
      <w:r w:rsidR="009A454D" w:rsidRPr="00152AF2">
        <w:rPr>
          <w:rFonts w:ascii="Arial" w:hAnsi="Arial" w:cs="Arial"/>
        </w:rPr>
        <w:t xml:space="preserve"> and </w:t>
      </w:r>
      <w:r w:rsidR="0042700F" w:rsidRPr="00152AF2">
        <w:rPr>
          <w:rFonts w:ascii="Arial" w:hAnsi="Arial" w:cs="Arial"/>
        </w:rPr>
        <w:t>cultural</w:t>
      </w:r>
      <w:r w:rsidR="00D324FE" w:rsidRPr="00152AF2">
        <w:rPr>
          <w:rFonts w:ascii="Arial" w:hAnsi="Arial" w:cs="Arial"/>
        </w:rPr>
        <w:t xml:space="preserve"> appropriate</w:t>
      </w:r>
      <w:r w:rsidR="008070FE" w:rsidRPr="00152AF2">
        <w:rPr>
          <w:rFonts w:ascii="Arial" w:hAnsi="Arial" w:cs="Arial"/>
        </w:rPr>
        <w:t>ness</w:t>
      </w:r>
      <w:r w:rsidR="00520535" w:rsidRPr="00152AF2">
        <w:rPr>
          <w:rFonts w:ascii="Arial" w:hAnsi="Arial" w:cs="Arial"/>
        </w:rPr>
        <w:t>.</w:t>
      </w:r>
    </w:p>
    <w:p w14:paraId="1B2192CC" w14:textId="2D27AD79" w:rsidR="00D5636E" w:rsidRPr="00152AF2" w:rsidRDefault="00760B11" w:rsidP="005D1BDF">
      <w:pPr>
        <w:spacing w:after="0"/>
        <w:rPr>
          <w:rFonts w:ascii="Arial" w:hAnsi="Arial" w:cs="Arial"/>
          <w:b/>
          <w:bCs/>
          <w:u w:val="single"/>
        </w:rPr>
      </w:pPr>
      <w:r w:rsidRPr="00152AF2">
        <w:rPr>
          <w:rFonts w:ascii="Arial" w:hAnsi="Arial" w:cs="Arial"/>
        </w:rPr>
        <w:tab/>
      </w:r>
      <w:r w:rsidR="00F44136" w:rsidRPr="00152AF2">
        <w:rPr>
          <w:rFonts w:ascii="Arial" w:hAnsi="Arial" w:cs="Arial"/>
          <w:b/>
          <w:bCs/>
          <w:u w:val="single"/>
        </w:rPr>
        <w:t xml:space="preserve">Programme of research </w:t>
      </w:r>
      <w:r w:rsidR="00D5636E" w:rsidRPr="00152AF2">
        <w:rPr>
          <w:rFonts w:ascii="Arial" w:hAnsi="Arial" w:cs="Arial"/>
          <w:b/>
          <w:bCs/>
          <w:u w:val="single"/>
        </w:rPr>
        <w:t>activities:</w:t>
      </w:r>
    </w:p>
    <w:p w14:paraId="7314726A" w14:textId="3EBCEE02" w:rsidR="00491EEB" w:rsidRPr="00152AF2" w:rsidRDefault="00F44136" w:rsidP="005D1BDF">
      <w:pPr>
        <w:spacing w:after="0"/>
        <w:rPr>
          <w:rFonts w:ascii="Arial" w:hAnsi="Arial" w:cs="Arial"/>
        </w:rPr>
      </w:pPr>
      <w:r w:rsidRPr="00152AF2">
        <w:rPr>
          <w:rFonts w:ascii="Arial" w:hAnsi="Arial" w:cs="Arial"/>
          <w:b/>
          <w:bCs/>
          <w:i/>
          <w:iCs/>
        </w:rPr>
        <w:t>Months 0-3:</w:t>
      </w:r>
      <w:r w:rsidRPr="00152AF2">
        <w:rPr>
          <w:rFonts w:ascii="Arial" w:hAnsi="Arial" w:cs="Arial"/>
        </w:rPr>
        <w:t xml:space="preserve"> </w:t>
      </w:r>
      <w:r w:rsidR="00B36C86" w:rsidRPr="00152AF2">
        <w:rPr>
          <w:rFonts w:ascii="Arial" w:hAnsi="Arial" w:cs="Arial"/>
        </w:rPr>
        <w:t>Complete ethical</w:t>
      </w:r>
      <w:r w:rsidR="00E0675F" w:rsidRPr="00152AF2">
        <w:rPr>
          <w:rFonts w:ascii="Arial" w:hAnsi="Arial" w:cs="Arial"/>
        </w:rPr>
        <w:t xml:space="preserve"> protocol and research equality impact assessment</w:t>
      </w:r>
      <w:r w:rsidR="00A91BB1" w:rsidRPr="00152AF2">
        <w:rPr>
          <w:rFonts w:ascii="Arial" w:hAnsi="Arial" w:cs="Arial"/>
        </w:rPr>
        <w:t>,</w:t>
      </w:r>
      <w:r w:rsidR="00B36C86" w:rsidRPr="00152AF2">
        <w:rPr>
          <w:rFonts w:ascii="Arial" w:hAnsi="Arial" w:cs="Arial"/>
        </w:rPr>
        <w:t xml:space="preserve"> </w:t>
      </w:r>
      <w:r w:rsidR="00D97D7A" w:rsidRPr="00152AF2">
        <w:rPr>
          <w:rFonts w:ascii="Arial" w:hAnsi="Arial" w:cs="Arial"/>
        </w:rPr>
        <w:t>establis</w:t>
      </w:r>
      <w:r w:rsidR="00B13343" w:rsidRPr="00152AF2">
        <w:rPr>
          <w:rFonts w:ascii="Arial" w:hAnsi="Arial" w:cs="Arial"/>
        </w:rPr>
        <w:t xml:space="preserve">h Programme of Engagement with </w:t>
      </w:r>
      <w:r w:rsidR="00D97D7A" w:rsidRPr="00152AF2">
        <w:rPr>
          <w:rFonts w:ascii="Arial" w:hAnsi="Arial" w:cs="Arial"/>
        </w:rPr>
        <w:t>relevant PPIE and stakeholder groups</w:t>
      </w:r>
      <w:r w:rsidR="009E0801" w:rsidRPr="00152AF2">
        <w:rPr>
          <w:rFonts w:ascii="Arial" w:hAnsi="Arial" w:cs="Arial"/>
        </w:rPr>
        <w:t>,</w:t>
      </w:r>
      <w:r w:rsidR="00B13343" w:rsidRPr="00152AF2">
        <w:rPr>
          <w:rFonts w:ascii="Arial" w:hAnsi="Arial" w:cs="Arial"/>
        </w:rPr>
        <w:t xml:space="preserve"> </w:t>
      </w:r>
      <w:r w:rsidR="00B36C86" w:rsidRPr="00152AF2">
        <w:rPr>
          <w:rFonts w:ascii="Arial" w:hAnsi="Arial" w:cs="Arial"/>
        </w:rPr>
        <w:t xml:space="preserve">arrange </w:t>
      </w:r>
      <w:r w:rsidR="00054A57" w:rsidRPr="00152AF2">
        <w:rPr>
          <w:rFonts w:ascii="Arial" w:hAnsi="Arial" w:cs="Arial"/>
        </w:rPr>
        <w:t xml:space="preserve">field site visits </w:t>
      </w:r>
      <w:r w:rsidR="00C55DC1" w:rsidRPr="00152AF2">
        <w:rPr>
          <w:rFonts w:ascii="Arial" w:hAnsi="Arial" w:cs="Arial"/>
        </w:rPr>
        <w:t>(UK/</w:t>
      </w:r>
      <w:r w:rsidR="007B1A1A" w:rsidRPr="00152AF2">
        <w:rPr>
          <w:rFonts w:ascii="Arial" w:hAnsi="Arial" w:cs="Arial"/>
        </w:rPr>
        <w:t>Bangladesh</w:t>
      </w:r>
      <w:r w:rsidR="00C55DC1" w:rsidRPr="00152AF2">
        <w:rPr>
          <w:rFonts w:ascii="Arial" w:hAnsi="Arial" w:cs="Arial"/>
        </w:rPr>
        <w:t>/</w:t>
      </w:r>
      <w:r w:rsidR="007B1A1A" w:rsidRPr="00152AF2">
        <w:rPr>
          <w:rFonts w:ascii="Arial" w:hAnsi="Arial" w:cs="Arial"/>
        </w:rPr>
        <w:t>Ghana</w:t>
      </w:r>
      <w:r w:rsidR="00C55DC1" w:rsidRPr="00152AF2">
        <w:rPr>
          <w:rFonts w:ascii="Arial" w:hAnsi="Arial" w:cs="Arial"/>
        </w:rPr>
        <w:t>)</w:t>
      </w:r>
      <w:r w:rsidR="009A1953" w:rsidRPr="00152AF2">
        <w:rPr>
          <w:rFonts w:ascii="Arial" w:hAnsi="Arial" w:cs="Arial"/>
        </w:rPr>
        <w:t xml:space="preserve"> (HM)</w:t>
      </w:r>
      <w:r w:rsidR="00491EEB" w:rsidRPr="00152AF2">
        <w:rPr>
          <w:rFonts w:ascii="Arial" w:hAnsi="Arial" w:cs="Arial"/>
        </w:rPr>
        <w:t>, and begin DL model development</w:t>
      </w:r>
      <w:r w:rsidR="009A1953" w:rsidRPr="00152AF2">
        <w:rPr>
          <w:rFonts w:ascii="Arial" w:hAnsi="Arial" w:cs="Arial"/>
        </w:rPr>
        <w:t xml:space="preserve"> (JA).</w:t>
      </w:r>
      <w:r w:rsidR="00BE0A78" w:rsidRPr="00152AF2">
        <w:rPr>
          <w:rFonts w:ascii="Arial" w:hAnsi="Arial" w:cs="Arial"/>
        </w:rPr>
        <w:t xml:space="preserve"> Establish </w:t>
      </w:r>
      <w:r w:rsidR="00475E58" w:rsidRPr="00152AF2">
        <w:rPr>
          <w:rFonts w:ascii="Arial" w:hAnsi="Arial" w:cs="Arial"/>
        </w:rPr>
        <w:t xml:space="preserve">an engagement board </w:t>
      </w:r>
      <w:r w:rsidR="00CD11ED" w:rsidRPr="00152AF2">
        <w:rPr>
          <w:rFonts w:ascii="Arial" w:hAnsi="Arial" w:cs="Arial"/>
        </w:rPr>
        <w:t>(P</w:t>
      </w:r>
      <w:r w:rsidR="00475E58" w:rsidRPr="00152AF2">
        <w:rPr>
          <w:rFonts w:ascii="Arial" w:hAnsi="Arial" w:cs="Arial"/>
        </w:rPr>
        <w:t>PIE</w:t>
      </w:r>
      <w:r w:rsidR="00CD11ED" w:rsidRPr="00152AF2">
        <w:rPr>
          <w:rFonts w:ascii="Arial" w:hAnsi="Arial" w:cs="Arial"/>
        </w:rPr>
        <w:t>, LEE and</w:t>
      </w:r>
      <w:r w:rsidR="00475E58" w:rsidRPr="00152AF2">
        <w:rPr>
          <w:rFonts w:ascii="Arial" w:hAnsi="Arial" w:cs="Arial"/>
        </w:rPr>
        <w:t xml:space="preserve"> other stakeholder groups</w:t>
      </w:r>
      <w:r w:rsidR="009A1953" w:rsidRPr="00152AF2">
        <w:rPr>
          <w:rFonts w:ascii="Arial" w:hAnsi="Arial" w:cs="Arial"/>
        </w:rPr>
        <w:t xml:space="preserve"> (NS,</w:t>
      </w:r>
      <w:r w:rsidR="000A684E" w:rsidRPr="00152AF2">
        <w:rPr>
          <w:rFonts w:ascii="Arial" w:hAnsi="Arial" w:cs="Arial"/>
        </w:rPr>
        <w:t xml:space="preserve"> </w:t>
      </w:r>
      <w:r w:rsidR="009A1953" w:rsidRPr="00152AF2">
        <w:rPr>
          <w:rFonts w:ascii="Arial" w:hAnsi="Arial" w:cs="Arial"/>
        </w:rPr>
        <w:t>MG)</w:t>
      </w:r>
      <w:r w:rsidR="00354C9B" w:rsidRPr="00152AF2">
        <w:rPr>
          <w:rFonts w:ascii="Arial" w:hAnsi="Arial" w:cs="Arial"/>
        </w:rPr>
        <w:t xml:space="preserve">, and hold initial online meetings with </w:t>
      </w:r>
      <w:r w:rsidR="00575905" w:rsidRPr="00152AF2">
        <w:rPr>
          <w:rFonts w:ascii="Arial" w:hAnsi="Arial" w:cs="Arial"/>
        </w:rPr>
        <w:t xml:space="preserve">stakeholders, engagement board, and </w:t>
      </w:r>
      <w:r w:rsidR="00B72297" w:rsidRPr="00152AF2">
        <w:rPr>
          <w:rFonts w:ascii="Arial" w:hAnsi="Arial" w:cs="Arial"/>
        </w:rPr>
        <w:t xml:space="preserve">UX/UI designers to </w:t>
      </w:r>
      <w:r w:rsidR="00BB5035" w:rsidRPr="00152AF2">
        <w:rPr>
          <w:rFonts w:ascii="Arial" w:hAnsi="Arial" w:cs="Arial"/>
        </w:rPr>
        <w:t>begin exploring feasible design elements</w:t>
      </w:r>
      <w:r w:rsidR="0063167D" w:rsidRPr="00152AF2">
        <w:rPr>
          <w:rFonts w:ascii="Arial" w:hAnsi="Arial" w:cs="Arial"/>
        </w:rPr>
        <w:t xml:space="preserve"> (JA,</w:t>
      </w:r>
      <w:r w:rsidR="000A684E" w:rsidRPr="00152AF2">
        <w:rPr>
          <w:rFonts w:ascii="Arial" w:hAnsi="Arial" w:cs="Arial"/>
        </w:rPr>
        <w:t xml:space="preserve"> </w:t>
      </w:r>
      <w:r w:rsidR="0063167D" w:rsidRPr="00152AF2">
        <w:rPr>
          <w:rFonts w:ascii="Arial" w:hAnsi="Arial" w:cs="Arial"/>
        </w:rPr>
        <w:t>HM)</w:t>
      </w:r>
      <w:r w:rsidR="00BB5035" w:rsidRPr="00152AF2">
        <w:rPr>
          <w:rFonts w:ascii="Arial" w:hAnsi="Arial" w:cs="Arial"/>
        </w:rPr>
        <w:t xml:space="preserve">. </w:t>
      </w:r>
      <w:r w:rsidR="00F61A07" w:rsidRPr="00152AF2">
        <w:rPr>
          <w:rFonts w:ascii="Arial" w:hAnsi="Arial" w:cs="Arial"/>
        </w:rPr>
        <w:t>Collate open-source regional data</w:t>
      </w:r>
      <w:r w:rsidR="0063167D" w:rsidRPr="00152AF2">
        <w:rPr>
          <w:rFonts w:ascii="Arial" w:hAnsi="Arial" w:cs="Arial"/>
        </w:rPr>
        <w:t xml:space="preserve"> (EH)</w:t>
      </w:r>
      <w:r w:rsidR="00F61A07" w:rsidRPr="00152AF2">
        <w:rPr>
          <w:rFonts w:ascii="Arial" w:hAnsi="Arial" w:cs="Arial"/>
        </w:rPr>
        <w:t>.</w:t>
      </w:r>
    </w:p>
    <w:p w14:paraId="01D6DD64" w14:textId="10ED5827" w:rsidR="00491EEB" w:rsidRPr="00152AF2" w:rsidRDefault="00491EEB" w:rsidP="005D1BDF">
      <w:pPr>
        <w:spacing w:after="0"/>
        <w:rPr>
          <w:rFonts w:ascii="Arial" w:hAnsi="Arial" w:cs="Arial"/>
        </w:rPr>
      </w:pPr>
      <w:r w:rsidRPr="00152AF2">
        <w:rPr>
          <w:rFonts w:ascii="Arial" w:hAnsi="Arial" w:cs="Arial"/>
          <w:b/>
          <w:bCs/>
          <w:i/>
          <w:iCs/>
        </w:rPr>
        <w:t>Months</w:t>
      </w:r>
      <w:r w:rsidR="00BA11D9" w:rsidRPr="00152AF2">
        <w:rPr>
          <w:rFonts w:ascii="Arial" w:hAnsi="Arial" w:cs="Arial"/>
          <w:b/>
          <w:bCs/>
          <w:i/>
          <w:iCs/>
        </w:rPr>
        <w:t xml:space="preserve"> 3-9: </w:t>
      </w:r>
      <w:r w:rsidR="00BA11D9" w:rsidRPr="00152AF2">
        <w:rPr>
          <w:rFonts w:ascii="Arial" w:hAnsi="Arial" w:cs="Arial"/>
        </w:rPr>
        <w:t>Conduct site visits</w:t>
      </w:r>
      <w:r w:rsidR="00534F3F" w:rsidRPr="00152AF2">
        <w:rPr>
          <w:rFonts w:ascii="Arial" w:hAnsi="Arial" w:cs="Arial"/>
        </w:rPr>
        <w:t xml:space="preserve"> in the UK</w:t>
      </w:r>
      <w:r w:rsidR="008C3213" w:rsidRPr="00152AF2">
        <w:rPr>
          <w:rFonts w:ascii="Arial" w:hAnsi="Arial" w:cs="Arial"/>
        </w:rPr>
        <w:t xml:space="preserve"> (</w:t>
      </w:r>
      <w:r w:rsidR="007E21DB" w:rsidRPr="00152AF2">
        <w:rPr>
          <w:rFonts w:ascii="Arial" w:hAnsi="Arial" w:cs="Arial"/>
        </w:rPr>
        <w:t>JA</w:t>
      </w:r>
      <w:r w:rsidR="000A684E" w:rsidRPr="00152AF2">
        <w:rPr>
          <w:rFonts w:ascii="Arial" w:hAnsi="Arial" w:cs="Arial"/>
        </w:rPr>
        <w:t xml:space="preserve">, </w:t>
      </w:r>
      <w:r w:rsidR="007E21DB" w:rsidRPr="00152AF2">
        <w:rPr>
          <w:rFonts w:ascii="Arial" w:hAnsi="Arial" w:cs="Arial"/>
        </w:rPr>
        <w:t>HM</w:t>
      </w:r>
      <w:r w:rsidR="008C3213" w:rsidRPr="00152AF2">
        <w:rPr>
          <w:rFonts w:ascii="Arial" w:hAnsi="Arial" w:cs="Arial"/>
        </w:rPr>
        <w:t>)</w:t>
      </w:r>
      <w:r w:rsidR="00534F3F" w:rsidRPr="00152AF2">
        <w:rPr>
          <w:rFonts w:ascii="Arial" w:hAnsi="Arial" w:cs="Arial"/>
        </w:rPr>
        <w:t xml:space="preserve">, Ghana </w:t>
      </w:r>
      <w:r w:rsidR="0027088F" w:rsidRPr="00152AF2">
        <w:rPr>
          <w:rFonts w:ascii="Arial" w:hAnsi="Arial" w:cs="Arial"/>
        </w:rPr>
        <w:t xml:space="preserve">(JA) </w:t>
      </w:r>
      <w:r w:rsidR="00534F3F" w:rsidRPr="00152AF2">
        <w:rPr>
          <w:rFonts w:ascii="Arial" w:hAnsi="Arial" w:cs="Arial"/>
        </w:rPr>
        <w:t>and Bangladesh</w:t>
      </w:r>
      <w:r w:rsidR="0027088F" w:rsidRPr="00152AF2">
        <w:rPr>
          <w:rFonts w:ascii="Arial" w:hAnsi="Arial" w:cs="Arial"/>
        </w:rPr>
        <w:t xml:space="preserve"> (HM)</w:t>
      </w:r>
      <w:r w:rsidR="00BB6A45" w:rsidRPr="00152AF2">
        <w:rPr>
          <w:rFonts w:ascii="Arial" w:hAnsi="Arial" w:cs="Arial"/>
        </w:rPr>
        <w:t xml:space="preserve">, </w:t>
      </w:r>
      <w:r w:rsidR="00D97D7A" w:rsidRPr="00152AF2">
        <w:rPr>
          <w:rFonts w:ascii="Arial" w:hAnsi="Arial" w:cs="Arial"/>
        </w:rPr>
        <w:t>hold monthly online meetings with PPIE</w:t>
      </w:r>
      <w:r w:rsidR="00BB6A45" w:rsidRPr="00152AF2">
        <w:rPr>
          <w:rFonts w:ascii="Arial" w:hAnsi="Arial" w:cs="Arial"/>
        </w:rPr>
        <w:t xml:space="preserve"> groups</w:t>
      </w:r>
      <w:r w:rsidR="00475E58" w:rsidRPr="00152AF2">
        <w:rPr>
          <w:rFonts w:ascii="Arial" w:hAnsi="Arial" w:cs="Arial"/>
        </w:rPr>
        <w:t xml:space="preserve"> and engagement board</w:t>
      </w:r>
      <w:r w:rsidR="007A4854" w:rsidRPr="00152AF2">
        <w:rPr>
          <w:rFonts w:ascii="Arial" w:hAnsi="Arial" w:cs="Arial"/>
        </w:rPr>
        <w:t xml:space="preserve"> to co-</w:t>
      </w:r>
      <w:r w:rsidR="00BB6A45" w:rsidRPr="00152AF2">
        <w:rPr>
          <w:rFonts w:ascii="Arial" w:hAnsi="Arial" w:cs="Arial"/>
        </w:rPr>
        <w:t>develop prototypes iteratively</w:t>
      </w:r>
      <w:r w:rsidR="007A4854" w:rsidRPr="00152AF2">
        <w:rPr>
          <w:rFonts w:ascii="Arial" w:hAnsi="Arial" w:cs="Arial"/>
        </w:rPr>
        <w:t xml:space="preserve"> through feedback</w:t>
      </w:r>
      <w:r w:rsidR="0027088F" w:rsidRPr="00152AF2">
        <w:rPr>
          <w:rFonts w:ascii="Arial" w:hAnsi="Arial" w:cs="Arial"/>
        </w:rPr>
        <w:t xml:space="preserve"> (JE,</w:t>
      </w:r>
      <w:r w:rsidR="000A684E" w:rsidRPr="00152AF2">
        <w:rPr>
          <w:rFonts w:ascii="Arial" w:hAnsi="Arial" w:cs="Arial"/>
        </w:rPr>
        <w:t xml:space="preserve"> </w:t>
      </w:r>
      <w:r w:rsidR="0027088F" w:rsidRPr="00152AF2">
        <w:rPr>
          <w:rFonts w:ascii="Arial" w:hAnsi="Arial" w:cs="Arial"/>
        </w:rPr>
        <w:t>HM,</w:t>
      </w:r>
      <w:r w:rsidR="000A684E" w:rsidRPr="00152AF2">
        <w:rPr>
          <w:rFonts w:ascii="Arial" w:hAnsi="Arial" w:cs="Arial"/>
        </w:rPr>
        <w:t xml:space="preserve"> </w:t>
      </w:r>
      <w:r w:rsidR="0027088F" w:rsidRPr="00152AF2">
        <w:rPr>
          <w:rFonts w:ascii="Arial" w:hAnsi="Arial" w:cs="Arial"/>
        </w:rPr>
        <w:t>MG)</w:t>
      </w:r>
      <w:r w:rsidR="007A4854" w:rsidRPr="00152AF2">
        <w:rPr>
          <w:rFonts w:ascii="Arial" w:hAnsi="Arial" w:cs="Arial"/>
        </w:rPr>
        <w:t xml:space="preserve">. </w:t>
      </w:r>
      <w:r w:rsidR="00F61A07" w:rsidRPr="00152AF2">
        <w:rPr>
          <w:rFonts w:ascii="Arial" w:hAnsi="Arial" w:cs="Arial"/>
        </w:rPr>
        <w:t>Develop prototypes</w:t>
      </w:r>
      <w:r w:rsidR="00F5104C" w:rsidRPr="00152AF2">
        <w:rPr>
          <w:rFonts w:ascii="Arial" w:hAnsi="Arial" w:cs="Arial"/>
        </w:rPr>
        <w:t xml:space="preserve"> (</w:t>
      </w:r>
      <w:r w:rsidR="000A684E" w:rsidRPr="00152AF2">
        <w:rPr>
          <w:rFonts w:ascii="Arial" w:hAnsi="Arial" w:cs="Arial"/>
        </w:rPr>
        <w:t>TEAM</w:t>
      </w:r>
      <w:r w:rsidR="00F5104C" w:rsidRPr="00152AF2">
        <w:rPr>
          <w:rFonts w:ascii="Arial" w:hAnsi="Arial" w:cs="Arial"/>
        </w:rPr>
        <w:t>)</w:t>
      </w:r>
      <w:r w:rsidR="00F61A07" w:rsidRPr="00152AF2">
        <w:rPr>
          <w:rFonts w:ascii="Arial" w:hAnsi="Arial" w:cs="Arial"/>
        </w:rPr>
        <w:t>.</w:t>
      </w:r>
    </w:p>
    <w:p w14:paraId="6A82561F" w14:textId="5CFF7C2D" w:rsidR="00BD062B" w:rsidRPr="00152AF2" w:rsidRDefault="007A4854" w:rsidP="005D1BDF">
      <w:pPr>
        <w:spacing w:after="0"/>
        <w:rPr>
          <w:rFonts w:ascii="Arial" w:hAnsi="Arial" w:cs="Arial"/>
        </w:rPr>
      </w:pPr>
      <w:r w:rsidRPr="00152AF2">
        <w:rPr>
          <w:rFonts w:ascii="Arial" w:hAnsi="Arial" w:cs="Arial"/>
          <w:b/>
          <w:bCs/>
          <w:i/>
          <w:iCs/>
        </w:rPr>
        <w:t xml:space="preserve">Months 9-12: </w:t>
      </w:r>
      <w:r w:rsidR="00650011" w:rsidRPr="00152AF2">
        <w:rPr>
          <w:rFonts w:ascii="Arial" w:hAnsi="Arial" w:cs="Arial"/>
        </w:rPr>
        <w:t>Deliver prototypes to PPIE groups and engagement board for final feedback and co-design</w:t>
      </w:r>
      <w:r w:rsidR="0027088F" w:rsidRPr="00152AF2">
        <w:rPr>
          <w:rFonts w:ascii="Arial" w:hAnsi="Arial" w:cs="Arial"/>
        </w:rPr>
        <w:t xml:space="preserve"> (JA, HM)</w:t>
      </w:r>
      <w:r w:rsidR="00650011" w:rsidRPr="00152AF2">
        <w:rPr>
          <w:rFonts w:ascii="Arial" w:hAnsi="Arial" w:cs="Arial"/>
        </w:rPr>
        <w:t>. Platform goes live</w:t>
      </w:r>
      <w:r w:rsidR="00187FDC" w:rsidRPr="00152AF2">
        <w:rPr>
          <w:rFonts w:ascii="Arial" w:hAnsi="Arial" w:cs="Arial"/>
        </w:rPr>
        <w:t>.</w:t>
      </w:r>
      <w:r w:rsidR="00F201A5" w:rsidRPr="00152AF2">
        <w:rPr>
          <w:rFonts w:ascii="Arial" w:hAnsi="Arial" w:cs="Arial"/>
        </w:rPr>
        <w:t xml:space="preserve"> </w:t>
      </w:r>
    </w:p>
    <w:p w14:paraId="0F16293B" w14:textId="18109379" w:rsidR="00BD062B" w:rsidRPr="00152AF2" w:rsidRDefault="00BD062B" w:rsidP="003B3098">
      <w:pPr>
        <w:spacing w:after="0"/>
        <w:ind w:firstLine="720"/>
        <w:rPr>
          <w:rFonts w:ascii="Arial" w:hAnsi="Arial" w:cs="Arial"/>
          <w:b/>
          <w:bCs/>
          <w:u w:val="single"/>
        </w:rPr>
      </w:pPr>
      <w:r w:rsidRPr="00152AF2">
        <w:rPr>
          <w:rFonts w:ascii="Arial" w:hAnsi="Arial" w:cs="Arial"/>
          <w:b/>
          <w:bCs/>
          <w:u w:val="single"/>
        </w:rPr>
        <w:t>References:</w:t>
      </w:r>
    </w:p>
    <w:p w14:paraId="323F45DE" w14:textId="262DDB4D" w:rsidR="00C9149D" w:rsidRPr="00152AF2" w:rsidRDefault="00C9149D" w:rsidP="00C9149D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152AF2">
        <w:rPr>
          <w:rFonts w:ascii="Arial" w:hAnsi="Arial" w:cs="Arial"/>
          <w:color w:val="222222"/>
          <w:shd w:val="clear" w:color="auto" w:fill="FFFFFF"/>
        </w:rPr>
        <w:t xml:space="preserve">Moore, </w:t>
      </w:r>
      <w:r w:rsidR="00930856" w:rsidRPr="00152AF2">
        <w:rPr>
          <w:rFonts w:ascii="Arial" w:hAnsi="Arial" w:cs="Arial"/>
          <w:color w:val="222222"/>
          <w:shd w:val="clear" w:color="auto" w:fill="FFFFFF"/>
        </w:rPr>
        <w:t>et al.</w:t>
      </w:r>
      <w:r w:rsidRPr="00152AF2">
        <w:rPr>
          <w:rFonts w:ascii="Arial" w:hAnsi="Arial" w:cs="Arial"/>
          <w:color w:val="222222"/>
          <w:shd w:val="clear" w:color="auto" w:fill="FFFFFF"/>
        </w:rPr>
        <w:t xml:space="preserve"> (2022). An exploration of factors characterising unusual spatial clusters of COVID-19 cases in the East Midlands region, UK. </w:t>
      </w:r>
      <w:r w:rsidRPr="00152AF2">
        <w:rPr>
          <w:rFonts w:ascii="Arial" w:hAnsi="Arial" w:cs="Arial"/>
          <w:i/>
          <w:iCs/>
          <w:color w:val="222222"/>
          <w:shd w:val="clear" w:color="auto" w:fill="FFFFFF"/>
        </w:rPr>
        <w:t>Land Urb Plan</w:t>
      </w:r>
      <w:r w:rsidRPr="00152AF2">
        <w:rPr>
          <w:rFonts w:ascii="Arial" w:hAnsi="Arial" w:cs="Arial"/>
          <w:color w:val="222222"/>
          <w:shd w:val="clear" w:color="auto" w:fill="FFFFFF"/>
        </w:rPr>
        <w:t>, </w:t>
      </w:r>
      <w:r w:rsidRPr="00152AF2">
        <w:rPr>
          <w:rFonts w:ascii="Arial" w:hAnsi="Arial" w:cs="Arial"/>
          <w:i/>
          <w:iCs/>
          <w:color w:val="222222"/>
          <w:shd w:val="clear" w:color="auto" w:fill="FFFFFF"/>
        </w:rPr>
        <w:t>219</w:t>
      </w:r>
      <w:r w:rsidRPr="00152AF2">
        <w:rPr>
          <w:rFonts w:ascii="Arial" w:hAnsi="Arial" w:cs="Arial"/>
          <w:color w:val="222222"/>
          <w:shd w:val="clear" w:color="auto" w:fill="FFFFFF"/>
        </w:rPr>
        <w:t>, p.104299.</w:t>
      </w:r>
    </w:p>
    <w:p w14:paraId="092D4FDC" w14:textId="4DF8064D" w:rsidR="00E27155" w:rsidRDefault="00B84EA0" w:rsidP="00DC75D3">
      <w:pPr>
        <w:spacing w:after="0"/>
        <w:ind w:firstLine="720"/>
        <w:rPr>
          <w:rFonts w:ascii="Arial" w:hAnsi="Arial" w:cs="Arial"/>
          <w:color w:val="222222"/>
          <w:shd w:val="clear" w:color="auto" w:fill="FFFFFF"/>
        </w:rPr>
      </w:pPr>
      <w:r w:rsidRPr="00152AF2">
        <w:rPr>
          <w:rFonts w:ascii="Arial" w:hAnsi="Arial" w:cs="Arial"/>
          <w:color w:val="222222"/>
          <w:shd w:val="clear" w:color="auto" w:fill="FFFFFF"/>
        </w:rPr>
        <w:t xml:space="preserve">Schuit, </w:t>
      </w:r>
      <w:r w:rsidR="00E12325" w:rsidRPr="00152AF2">
        <w:rPr>
          <w:rFonts w:ascii="Arial" w:hAnsi="Arial" w:cs="Arial"/>
          <w:color w:val="222222"/>
          <w:shd w:val="clear" w:color="auto" w:fill="FFFFFF"/>
        </w:rPr>
        <w:t xml:space="preserve">et al., </w:t>
      </w:r>
      <w:r w:rsidRPr="00152AF2">
        <w:rPr>
          <w:rFonts w:ascii="Arial" w:hAnsi="Arial" w:cs="Arial"/>
          <w:color w:val="222222"/>
          <w:shd w:val="clear" w:color="auto" w:fill="FFFFFF"/>
        </w:rPr>
        <w:t>2023. Automated detection and monitoring of methane super-emitters using satellite data. </w:t>
      </w:r>
      <w:r w:rsidRPr="00152AF2">
        <w:rPr>
          <w:rFonts w:ascii="Arial" w:hAnsi="Arial" w:cs="Arial"/>
          <w:i/>
          <w:iCs/>
          <w:color w:val="222222"/>
          <w:shd w:val="clear" w:color="auto" w:fill="FFFFFF"/>
        </w:rPr>
        <w:t>Atmo</w:t>
      </w:r>
      <w:r w:rsidR="0006603B" w:rsidRPr="00152AF2">
        <w:rPr>
          <w:rFonts w:ascii="Arial" w:hAnsi="Arial" w:cs="Arial"/>
          <w:i/>
          <w:iCs/>
          <w:color w:val="222222"/>
          <w:shd w:val="clear" w:color="auto" w:fill="FFFFFF"/>
        </w:rPr>
        <w:t>s</w:t>
      </w:r>
      <w:r w:rsidRPr="00152AF2">
        <w:rPr>
          <w:rFonts w:ascii="Arial" w:hAnsi="Arial" w:cs="Arial"/>
          <w:i/>
          <w:iCs/>
          <w:color w:val="222222"/>
          <w:shd w:val="clear" w:color="auto" w:fill="FFFFFF"/>
        </w:rPr>
        <w:t xml:space="preserve"> Chem Phys Disc</w:t>
      </w:r>
      <w:r w:rsidRPr="00152AF2">
        <w:rPr>
          <w:rFonts w:ascii="Arial" w:hAnsi="Arial" w:cs="Arial"/>
          <w:color w:val="222222"/>
          <w:shd w:val="clear" w:color="auto" w:fill="FFFFFF"/>
        </w:rPr>
        <w:t>, pp.1-47.</w:t>
      </w:r>
    </w:p>
    <w:p w14:paraId="70CD141C" w14:textId="77777777" w:rsidR="008070FE" w:rsidRDefault="008070FE" w:rsidP="009D1042">
      <w:pPr>
        <w:spacing w:after="0"/>
        <w:rPr>
          <w:rFonts w:ascii="Arial" w:hAnsi="Arial" w:cs="Arial"/>
        </w:rPr>
      </w:pPr>
    </w:p>
    <w:p w14:paraId="5FBF4BEA" w14:textId="4C30503B" w:rsidR="00DC75D3" w:rsidRDefault="00DC75D3" w:rsidP="00DC75D3">
      <w:pPr>
        <w:spacing w:after="0"/>
        <w:ind w:firstLine="720"/>
        <w:jc w:val="center"/>
        <w:rPr>
          <w:rFonts w:ascii="Arial" w:hAnsi="Arial" w:cs="Arial"/>
          <w:b/>
          <w:bCs/>
        </w:rPr>
      </w:pPr>
      <w:r w:rsidRPr="00DC75D3">
        <w:rPr>
          <w:rFonts w:ascii="Arial" w:hAnsi="Arial" w:cs="Arial"/>
          <w:b/>
          <w:bCs/>
        </w:rPr>
        <w:t>BUDGET</w:t>
      </w:r>
    </w:p>
    <w:p w14:paraId="55DEBBE1" w14:textId="77777777" w:rsidR="00DC75D3" w:rsidRDefault="00DC75D3" w:rsidP="00DC75D3">
      <w:pPr>
        <w:spacing w:after="0"/>
        <w:ind w:firstLine="720"/>
        <w:rPr>
          <w:rFonts w:ascii="Arial" w:hAnsi="Arial" w:cs="Arial"/>
          <w:b/>
          <w:bCs/>
        </w:rPr>
      </w:pPr>
    </w:p>
    <w:p w14:paraId="460D793B" w14:textId="57D213B4" w:rsidR="00DC75D3" w:rsidRDefault="00DC75D3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Salaries:</w:t>
      </w:r>
    </w:p>
    <w:p w14:paraId="1DC85939" w14:textId="77777777" w:rsidR="00DC75D3" w:rsidRDefault="00DC75D3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tbl>
      <w:tblPr>
        <w:tblStyle w:val="PlainTable2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584"/>
        <w:gridCol w:w="1134"/>
        <w:gridCol w:w="1276"/>
        <w:gridCol w:w="1219"/>
      </w:tblGrid>
      <w:tr w:rsidR="00D7642F" w14:paraId="1E9D18CC" w14:textId="77777777" w:rsidTr="00F86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bottom w:val="none" w:sz="0" w:space="0" w:color="auto"/>
            </w:tcBorders>
            <w:shd w:val="clear" w:color="auto" w:fill="4472C4" w:themeFill="accent1"/>
          </w:tcPr>
          <w:p w14:paraId="76DDF0E4" w14:textId="08E9B5C6" w:rsidR="00D7642F" w:rsidRPr="00CD78C1" w:rsidRDefault="00CD78C1" w:rsidP="00CD78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3584" w:type="dxa"/>
            <w:tcBorders>
              <w:bottom w:val="none" w:sz="0" w:space="0" w:color="auto"/>
            </w:tcBorders>
            <w:shd w:val="clear" w:color="auto" w:fill="4472C4" w:themeFill="accent1"/>
          </w:tcPr>
          <w:p w14:paraId="3B6F526A" w14:textId="31A0D20D" w:rsidR="00D7642F" w:rsidRPr="00CD78C1" w:rsidRDefault="00CD78C1" w:rsidP="00CD7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Justification</w:t>
            </w:r>
          </w:p>
        </w:tc>
        <w:tc>
          <w:tcPr>
            <w:tcW w:w="1134" w:type="dxa"/>
            <w:tcBorders>
              <w:bottom w:val="none" w:sz="0" w:space="0" w:color="auto"/>
            </w:tcBorders>
            <w:shd w:val="clear" w:color="auto" w:fill="4472C4" w:themeFill="accent1"/>
          </w:tcPr>
          <w:p w14:paraId="38B98274" w14:textId="7B7C447A" w:rsidR="00D7642F" w:rsidRPr="00CD78C1" w:rsidRDefault="00DB473D" w:rsidP="00CD7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Months</w:t>
            </w:r>
          </w:p>
        </w:tc>
        <w:tc>
          <w:tcPr>
            <w:tcW w:w="1276" w:type="dxa"/>
            <w:tcBorders>
              <w:bottom w:val="none" w:sz="0" w:space="0" w:color="auto"/>
            </w:tcBorders>
            <w:shd w:val="clear" w:color="auto" w:fill="4472C4" w:themeFill="accent1"/>
          </w:tcPr>
          <w:p w14:paraId="3FCE5CBB" w14:textId="5D2E49CF" w:rsidR="00D7642F" w:rsidRPr="00CD78C1" w:rsidRDefault="00CA4F75" w:rsidP="00CD7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 xml:space="preserve">% </w:t>
            </w:r>
            <w:proofErr w:type="gramStart"/>
            <w:r>
              <w:rPr>
                <w:rFonts w:ascii="Arial" w:hAnsi="Arial" w:cs="Arial"/>
                <w:color w:val="FFFFFF" w:themeColor="background1"/>
              </w:rPr>
              <w:t>time</w:t>
            </w:r>
            <w:proofErr w:type="gramEnd"/>
          </w:p>
        </w:tc>
        <w:tc>
          <w:tcPr>
            <w:tcW w:w="1219" w:type="dxa"/>
            <w:tcBorders>
              <w:bottom w:val="none" w:sz="0" w:space="0" w:color="auto"/>
            </w:tcBorders>
            <w:shd w:val="clear" w:color="auto" w:fill="4472C4" w:themeFill="accent1"/>
          </w:tcPr>
          <w:p w14:paraId="6AC83B70" w14:textId="1F60724C" w:rsidR="00D7642F" w:rsidRPr="00CD78C1" w:rsidRDefault="00CA4F75" w:rsidP="00CD78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D7642F" w14:paraId="19673D7D" w14:textId="77777777" w:rsidTr="00F8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one" w:sz="0" w:space="0" w:color="auto"/>
              <w:bottom w:val="none" w:sz="0" w:space="0" w:color="auto"/>
            </w:tcBorders>
          </w:tcPr>
          <w:p w14:paraId="0BCD0D2C" w14:textId="64F39A87" w:rsidR="00D7642F" w:rsidRPr="00046CB8" w:rsidRDefault="00046CB8" w:rsidP="00DC75D3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John Atanbori</w:t>
            </w:r>
          </w:p>
        </w:tc>
        <w:tc>
          <w:tcPr>
            <w:tcW w:w="3584" w:type="dxa"/>
            <w:tcBorders>
              <w:top w:val="none" w:sz="0" w:space="0" w:color="auto"/>
              <w:bottom w:val="none" w:sz="0" w:space="0" w:color="auto"/>
            </w:tcBorders>
          </w:tcPr>
          <w:p w14:paraId="547F1A43" w14:textId="32474BD6" w:rsidR="00D7642F" w:rsidRPr="00CA4F75" w:rsidRDefault="00AB13D0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 expertise, develop dashboard prototype iteratively throughout the research period.</w:t>
            </w:r>
            <w:r w:rsidR="00BD7167">
              <w:rPr>
                <w:rFonts w:ascii="Arial" w:hAnsi="Arial" w:cs="Arial"/>
              </w:rPr>
              <w:t xml:space="preserve"> Conduct field work in Ghana</w:t>
            </w:r>
            <w:r w:rsidR="007E21DB">
              <w:rPr>
                <w:rFonts w:ascii="Arial" w:hAnsi="Arial" w:cs="Arial"/>
              </w:rPr>
              <w:t xml:space="preserve"> and the UK to consult with community, </w:t>
            </w:r>
            <w:proofErr w:type="gramStart"/>
            <w:r w:rsidR="007E21DB">
              <w:rPr>
                <w:rFonts w:ascii="Arial" w:hAnsi="Arial" w:cs="Arial"/>
              </w:rPr>
              <w:t>industry</w:t>
            </w:r>
            <w:proofErr w:type="gramEnd"/>
            <w:r w:rsidR="007E21DB">
              <w:rPr>
                <w:rFonts w:ascii="Arial" w:hAnsi="Arial" w:cs="Arial"/>
              </w:rPr>
              <w:t xml:space="preserve"> and clinical stakeholders.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2B1F6EE8" w14:textId="0D0122DF" w:rsidR="00D7642F" w:rsidRPr="00CA4F75" w:rsidRDefault="00D80E40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14:paraId="6FEE89B4" w14:textId="4326DB61" w:rsidR="00D7642F" w:rsidRPr="00CA4F75" w:rsidRDefault="00D80E40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FTE</w:t>
            </w:r>
          </w:p>
        </w:tc>
        <w:tc>
          <w:tcPr>
            <w:tcW w:w="1219" w:type="dxa"/>
            <w:tcBorders>
              <w:top w:val="none" w:sz="0" w:space="0" w:color="auto"/>
              <w:bottom w:val="none" w:sz="0" w:space="0" w:color="auto"/>
            </w:tcBorders>
          </w:tcPr>
          <w:p w14:paraId="2D25ACE9" w14:textId="0E060931" w:rsidR="00D7642F" w:rsidRPr="00CA4F75" w:rsidRDefault="001E3F29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17112.30</w:t>
            </w:r>
          </w:p>
        </w:tc>
      </w:tr>
      <w:tr w:rsidR="00D7642F" w14:paraId="207DEE0D" w14:textId="77777777" w:rsidTr="00F861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AEABE5" w14:textId="1FD90665" w:rsidR="00D7642F" w:rsidRPr="00CA4E56" w:rsidRDefault="00CA4E56" w:rsidP="00DC75D3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Harriet Moore</w:t>
            </w:r>
          </w:p>
        </w:tc>
        <w:tc>
          <w:tcPr>
            <w:tcW w:w="3584" w:type="dxa"/>
          </w:tcPr>
          <w:p w14:paraId="50052E9B" w14:textId="15A160D6" w:rsidR="00D7642F" w:rsidRPr="00CA4E56" w:rsidRDefault="00CA4E56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Coordinate in-country</w:t>
            </w:r>
            <w:r w:rsidR="002335BA">
              <w:rPr>
                <w:rFonts w:ascii="Arial" w:hAnsi="Arial" w:cs="Arial"/>
              </w:rPr>
              <w:t xml:space="preserve"> and online innovation labs, </w:t>
            </w:r>
            <w:r w:rsidR="00C43F32">
              <w:rPr>
                <w:rFonts w:ascii="Arial" w:hAnsi="Arial" w:cs="Arial"/>
              </w:rPr>
              <w:t>develop ethics assessment.</w:t>
            </w:r>
            <w:r w:rsidR="00BD7167">
              <w:rPr>
                <w:rFonts w:ascii="Arial" w:hAnsi="Arial" w:cs="Arial"/>
              </w:rPr>
              <w:t xml:space="preserve"> </w:t>
            </w:r>
            <w:r w:rsidR="00615DAC">
              <w:rPr>
                <w:rFonts w:ascii="Arial" w:hAnsi="Arial" w:cs="Arial"/>
              </w:rPr>
              <w:t>Collate health data</w:t>
            </w:r>
            <w:r w:rsidR="0026413C">
              <w:rPr>
                <w:rFonts w:ascii="Arial" w:hAnsi="Arial" w:cs="Arial"/>
              </w:rPr>
              <w:t xml:space="preserve"> for all field sites. </w:t>
            </w:r>
            <w:r w:rsidR="00BD7167">
              <w:rPr>
                <w:rFonts w:ascii="Arial" w:hAnsi="Arial" w:cs="Arial"/>
              </w:rPr>
              <w:t>Conduct field work in Bangladesh</w:t>
            </w:r>
            <w:r w:rsidR="006E3E01">
              <w:rPr>
                <w:rFonts w:ascii="Arial" w:hAnsi="Arial" w:cs="Arial"/>
              </w:rPr>
              <w:t xml:space="preserve"> and UK to consult with </w:t>
            </w:r>
            <w:r w:rsidR="007E21DB">
              <w:rPr>
                <w:rFonts w:ascii="Arial" w:hAnsi="Arial" w:cs="Arial"/>
              </w:rPr>
              <w:t xml:space="preserve">community, </w:t>
            </w:r>
            <w:proofErr w:type="gramStart"/>
            <w:r w:rsidR="006E3E01">
              <w:rPr>
                <w:rFonts w:ascii="Arial" w:hAnsi="Arial" w:cs="Arial"/>
              </w:rPr>
              <w:t>industry</w:t>
            </w:r>
            <w:proofErr w:type="gramEnd"/>
            <w:r w:rsidR="006E3E01">
              <w:rPr>
                <w:rFonts w:ascii="Arial" w:hAnsi="Arial" w:cs="Arial"/>
              </w:rPr>
              <w:t xml:space="preserve"> and clinical stakeholders</w:t>
            </w:r>
            <w:r w:rsidR="00BD7167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71D9D5E9" w14:textId="0492EF6B" w:rsidR="00D7642F" w:rsidRPr="00CA4E56" w:rsidRDefault="00C43F32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</w:tcPr>
          <w:p w14:paraId="4CF0312C" w14:textId="44F60316" w:rsidR="00D7642F" w:rsidRPr="00CA4E56" w:rsidRDefault="00C43F32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FTE</w:t>
            </w:r>
          </w:p>
        </w:tc>
        <w:tc>
          <w:tcPr>
            <w:tcW w:w="1219" w:type="dxa"/>
          </w:tcPr>
          <w:p w14:paraId="359B439F" w14:textId="57151F4E" w:rsidR="00D7642F" w:rsidRPr="00CA4E56" w:rsidRDefault="000B12D2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17667.38</w:t>
            </w:r>
          </w:p>
        </w:tc>
      </w:tr>
      <w:tr w:rsidR="00D7642F" w14:paraId="207AACCC" w14:textId="77777777" w:rsidTr="00F8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one" w:sz="0" w:space="0" w:color="auto"/>
              <w:bottom w:val="none" w:sz="0" w:space="0" w:color="auto"/>
            </w:tcBorders>
          </w:tcPr>
          <w:p w14:paraId="1A22208C" w14:textId="2C3DC09C" w:rsidR="00D7642F" w:rsidRPr="00CA4E56" w:rsidRDefault="000B12D2" w:rsidP="00DC75D3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Edward Hanna</w:t>
            </w:r>
          </w:p>
        </w:tc>
        <w:tc>
          <w:tcPr>
            <w:tcW w:w="3584" w:type="dxa"/>
            <w:tcBorders>
              <w:top w:val="none" w:sz="0" w:space="0" w:color="auto"/>
              <w:bottom w:val="none" w:sz="0" w:space="0" w:color="auto"/>
            </w:tcBorders>
          </w:tcPr>
          <w:p w14:paraId="2A475AB3" w14:textId="4E987981" w:rsidR="00D7642F" w:rsidRPr="00CA4E56" w:rsidRDefault="000B12D2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Collate </w:t>
            </w:r>
            <w:r w:rsidR="00060B20">
              <w:rPr>
                <w:rFonts w:ascii="Arial" w:hAnsi="Arial" w:cs="Arial"/>
              </w:rPr>
              <w:t>environmental data</w:t>
            </w:r>
            <w:r w:rsidR="0026413C">
              <w:rPr>
                <w:rFonts w:ascii="Arial" w:hAnsi="Arial" w:cs="Arial"/>
              </w:rPr>
              <w:t xml:space="preserve"> for all field sites, </w:t>
            </w:r>
            <w:r w:rsidR="00F203B2">
              <w:rPr>
                <w:rFonts w:ascii="Arial" w:hAnsi="Arial" w:cs="Arial"/>
              </w:rPr>
              <w:t xml:space="preserve">coordinate representation of </w:t>
            </w:r>
            <w:r w:rsidR="00AC048E">
              <w:rPr>
                <w:rFonts w:ascii="Arial" w:hAnsi="Arial" w:cs="Arial"/>
              </w:rPr>
              <w:t xml:space="preserve">UK </w:t>
            </w:r>
            <w:r w:rsidR="00311EA3">
              <w:rPr>
                <w:rFonts w:ascii="Arial" w:hAnsi="Arial" w:cs="Arial"/>
              </w:rPr>
              <w:t xml:space="preserve">industry sectors in </w:t>
            </w:r>
            <w:r w:rsidR="00AC048E">
              <w:rPr>
                <w:rFonts w:ascii="Arial" w:hAnsi="Arial" w:cs="Arial"/>
              </w:rPr>
              <w:t xml:space="preserve">stakeholder engagement board, </w:t>
            </w:r>
            <w:r w:rsidR="0026413C">
              <w:rPr>
                <w:rFonts w:ascii="Arial" w:hAnsi="Arial" w:cs="Arial"/>
              </w:rPr>
              <w:t>consult on dashboard development</w:t>
            </w:r>
            <w:r w:rsidR="000A684E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0E6F5594" w14:textId="4B1D20CD" w:rsidR="00D7642F" w:rsidRPr="00CA4E56" w:rsidRDefault="00C7138F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14:paraId="6032CC5B" w14:textId="2359D005" w:rsidR="00D7642F" w:rsidRPr="00CA4E56" w:rsidRDefault="00C7138F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B4676">
              <w:rPr>
                <w:rFonts w:ascii="Arial" w:hAnsi="Arial" w:cs="Arial"/>
              </w:rPr>
              <w:t xml:space="preserve"> FTE</w:t>
            </w:r>
          </w:p>
        </w:tc>
        <w:tc>
          <w:tcPr>
            <w:tcW w:w="1219" w:type="dxa"/>
            <w:tcBorders>
              <w:top w:val="none" w:sz="0" w:space="0" w:color="auto"/>
              <w:bottom w:val="none" w:sz="0" w:space="0" w:color="auto"/>
            </w:tcBorders>
          </w:tcPr>
          <w:p w14:paraId="17D6A4BD" w14:textId="205D79AB" w:rsidR="00D7642F" w:rsidRPr="00CA4E56" w:rsidRDefault="00C7138F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2459.89</w:t>
            </w:r>
          </w:p>
        </w:tc>
      </w:tr>
      <w:tr w:rsidR="00D7642F" w14:paraId="24666C20" w14:textId="77777777" w:rsidTr="00F8617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43C230" w14:textId="58414C2D" w:rsidR="00D7642F" w:rsidRPr="00CA4E56" w:rsidRDefault="007C0BE7" w:rsidP="00DC75D3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Mark Gussy</w:t>
            </w:r>
          </w:p>
        </w:tc>
        <w:tc>
          <w:tcPr>
            <w:tcW w:w="3584" w:type="dxa"/>
          </w:tcPr>
          <w:p w14:paraId="4B7D6821" w14:textId="262F7420" w:rsidR="00D7642F" w:rsidRPr="00CA4E56" w:rsidRDefault="00BE16AD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BF201A">
              <w:rPr>
                <w:rFonts w:ascii="Arial" w:hAnsi="Arial" w:cs="Arial"/>
              </w:rPr>
              <w:t>oordinate monthly innovation labs</w:t>
            </w:r>
            <w:r w:rsidR="00BA634F">
              <w:rPr>
                <w:rFonts w:ascii="Arial" w:hAnsi="Arial" w:cs="Arial"/>
              </w:rPr>
              <w:t xml:space="preserve"> and PPIE involvement in stakeholder engagement board, </w:t>
            </w:r>
            <w:r w:rsidR="009B7573">
              <w:rPr>
                <w:rFonts w:ascii="Arial" w:hAnsi="Arial" w:cs="Arial"/>
              </w:rPr>
              <w:t xml:space="preserve">consult on clinical </w:t>
            </w:r>
            <w:r w:rsidR="00F203B2">
              <w:rPr>
                <w:rFonts w:ascii="Arial" w:hAnsi="Arial" w:cs="Arial"/>
              </w:rPr>
              <w:t>dashboard functions.</w:t>
            </w:r>
            <w:r w:rsidR="00F86172">
              <w:rPr>
                <w:rFonts w:ascii="Arial" w:hAnsi="Arial" w:cs="Arial"/>
              </w:rPr>
              <w:t xml:space="preserve"> Mentor ECRs (JA, HM)</w:t>
            </w:r>
          </w:p>
        </w:tc>
        <w:tc>
          <w:tcPr>
            <w:tcW w:w="1134" w:type="dxa"/>
          </w:tcPr>
          <w:p w14:paraId="251098C6" w14:textId="70AFFD42" w:rsidR="00D7642F" w:rsidRPr="00CA4E56" w:rsidRDefault="006B4676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</w:tcPr>
          <w:p w14:paraId="08C1B528" w14:textId="2DA82A07" w:rsidR="00D7642F" w:rsidRPr="00CA4E56" w:rsidRDefault="006B4676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FTE</w:t>
            </w:r>
          </w:p>
        </w:tc>
        <w:tc>
          <w:tcPr>
            <w:tcW w:w="1219" w:type="dxa"/>
          </w:tcPr>
          <w:p w14:paraId="0A4F6F1D" w14:textId="34BB5406" w:rsidR="00D7642F" w:rsidRPr="00CA4E56" w:rsidRDefault="00FF4F4B" w:rsidP="00DC7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3388.02</w:t>
            </w:r>
          </w:p>
        </w:tc>
      </w:tr>
      <w:tr w:rsidR="00D7642F" w14:paraId="4AC31A91" w14:textId="77777777" w:rsidTr="00F86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tcBorders>
              <w:top w:val="none" w:sz="0" w:space="0" w:color="auto"/>
              <w:bottom w:val="none" w:sz="0" w:space="0" w:color="auto"/>
            </w:tcBorders>
          </w:tcPr>
          <w:p w14:paraId="084ED122" w14:textId="136183B2" w:rsidR="00D7642F" w:rsidRPr="00CA4E56" w:rsidRDefault="00EF0395" w:rsidP="00DC75D3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Niro Siriwardena</w:t>
            </w:r>
          </w:p>
        </w:tc>
        <w:tc>
          <w:tcPr>
            <w:tcW w:w="3584" w:type="dxa"/>
            <w:tcBorders>
              <w:top w:val="none" w:sz="0" w:space="0" w:color="auto"/>
              <w:bottom w:val="none" w:sz="0" w:space="0" w:color="auto"/>
            </w:tcBorders>
          </w:tcPr>
          <w:p w14:paraId="52B9C018" w14:textId="434AC334" w:rsidR="00D7642F" w:rsidRPr="00CA4E56" w:rsidRDefault="00EF0395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Coordinate representation of UK public health sector in stakeholder engagement board, </w:t>
            </w:r>
            <w:r w:rsidR="006B4676">
              <w:rPr>
                <w:rFonts w:ascii="Arial" w:hAnsi="Arial" w:cs="Arial"/>
              </w:rPr>
              <w:t>consult on clinical dashboard functions.</w:t>
            </w:r>
            <w:r w:rsidR="00F86172">
              <w:rPr>
                <w:rFonts w:ascii="Arial" w:hAnsi="Arial" w:cs="Arial"/>
              </w:rPr>
              <w:t xml:space="preserve"> Mentor ECRs (JA, HM).</w:t>
            </w:r>
          </w:p>
        </w:tc>
        <w:tc>
          <w:tcPr>
            <w:tcW w:w="1134" w:type="dxa"/>
            <w:tcBorders>
              <w:top w:val="none" w:sz="0" w:space="0" w:color="auto"/>
              <w:bottom w:val="none" w:sz="0" w:space="0" w:color="auto"/>
            </w:tcBorders>
          </w:tcPr>
          <w:p w14:paraId="3B0B4225" w14:textId="01110809" w:rsidR="00D7642F" w:rsidRPr="00CA4E56" w:rsidRDefault="006B4676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  <w:tcBorders>
              <w:top w:val="none" w:sz="0" w:space="0" w:color="auto"/>
              <w:bottom w:val="none" w:sz="0" w:space="0" w:color="auto"/>
            </w:tcBorders>
          </w:tcPr>
          <w:p w14:paraId="39F54EB9" w14:textId="227F11D7" w:rsidR="00D7642F" w:rsidRPr="00CA4E56" w:rsidRDefault="006B4676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FTE</w:t>
            </w:r>
          </w:p>
        </w:tc>
        <w:tc>
          <w:tcPr>
            <w:tcW w:w="1219" w:type="dxa"/>
            <w:tcBorders>
              <w:top w:val="none" w:sz="0" w:space="0" w:color="auto"/>
              <w:bottom w:val="none" w:sz="0" w:space="0" w:color="auto"/>
            </w:tcBorders>
          </w:tcPr>
          <w:p w14:paraId="12D9DB6A" w14:textId="07D5C320" w:rsidR="00D7642F" w:rsidRPr="00CA4E56" w:rsidRDefault="00FF4F4B" w:rsidP="00DC7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3298.33</w:t>
            </w:r>
          </w:p>
        </w:tc>
      </w:tr>
    </w:tbl>
    <w:p w14:paraId="40F72B1C" w14:textId="418E41C9" w:rsidR="00C74353" w:rsidRDefault="00511DC5" w:rsidP="00511DC5">
      <w:pPr>
        <w:tabs>
          <w:tab w:val="left" w:pos="270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395FBB" w14:textId="77777777" w:rsidR="00511DC5" w:rsidRDefault="00511DC5" w:rsidP="00511DC5">
      <w:pPr>
        <w:tabs>
          <w:tab w:val="left" w:pos="2700"/>
        </w:tabs>
        <w:spacing w:after="0"/>
        <w:ind w:firstLine="720"/>
        <w:rPr>
          <w:rFonts w:ascii="Arial" w:hAnsi="Arial" w:cs="Arial"/>
        </w:rPr>
      </w:pPr>
    </w:p>
    <w:p w14:paraId="0A28F84A" w14:textId="303B1A37" w:rsidR="00C74353" w:rsidRPr="00545A48" w:rsidRDefault="00545A48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Materials and consumables:</w:t>
      </w:r>
    </w:p>
    <w:p w14:paraId="16405B3C" w14:textId="77777777" w:rsidR="00C74353" w:rsidRDefault="00C74353" w:rsidP="00DC75D3">
      <w:pPr>
        <w:spacing w:after="0"/>
        <w:ind w:firstLine="720"/>
        <w:rPr>
          <w:rFonts w:ascii="Arial" w:hAnsi="Arial" w:cs="Arial"/>
        </w:rPr>
      </w:pPr>
    </w:p>
    <w:tbl>
      <w:tblPr>
        <w:tblStyle w:val="PlainTable2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42"/>
        <w:gridCol w:w="1219"/>
      </w:tblGrid>
      <w:tr w:rsidR="00F15289" w14:paraId="2866F714" w14:textId="77777777" w:rsidTr="00346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4472C4" w:themeFill="accent1"/>
          </w:tcPr>
          <w:p w14:paraId="7CDAF49E" w14:textId="6642F030" w:rsidR="00F15289" w:rsidRPr="00CD78C1" w:rsidRDefault="00511DC5" w:rsidP="00A0375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3442" w:type="dxa"/>
            <w:shd w:val="clear" w:color="auto" w:fill="4472C4" w:themeFill="accent1"/>
          </w:tcPr>
          <w:p w14:paraId="76E7404A" w14:textId="77777777" w:rsidR="00F15289" w:rsidRPr="00CD78C1" w:rsidRDefault="00F15289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Justification</w:t>
            </w:r>
          </w:p>
        </w:tc>
        <w:tc>
          <w:tcPr>
            <w:tcW w:w="1219" w:type="dxa"/>
            <w:shd w:val="clear" w:color="auto" w:fill="4472C4" w:themeFill="accent1"/>
          </w:tcPr>
          <w:p w14:paraId="6086A4A3" w14:textId="77777777" w:rsidR="00F15289" w:rsidRPr="00CD78C1" w:rsidRDefault="00F15289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F15289" w14:paraId="767091D7" w14:textId="77777777" w:rsidTr="00346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1218965" w14:textId="6020E282" w:rsidR="00F15289" w:rsidRPr="00046CB8" w:rsidRDefault="00511DC5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N/A</w:t>
            </w:r>
          </w:p>
        </w:tc>
        <w:tc>
          <w:tcPr>
            <w:tcW w:w="3442" w:type="dxa"/>
          </w:tcPr>
          <w:p w14:paraId="4EA093F9" w14:textId="1664A00D" w:rsidR="00F15289" w:rsidRPr="00CA4F75" w:rsidRDefault="00511DC5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19" w:type="dxa"/>
          </w:tcPr>
          <w:p w14:paraId="045CC7FB" w14:textId="64E508C4" w:rsidR="00F15289" w:rsidRPr="00CA4F75" w:rsidRDefault="00511DC5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541859EE" w14:textId="77777777" w:rsidR="00511DC5" w:rsidRDefault="00511DC5" w:rsidP="001F0A24">
      <w:pPr>
        <w:spacing w:after="0"/>
        <w:rPr>
          <w:rFonts w:ascii="Arial" w:hAnsi="Arial" w:cs="Arial"/>
        </w:rPr>
      </w:pPr>
    </w:p>
    <w:p w14:paraId="16B035D2" w14:textId="77777777" w:rsidR="00511DC5" w:rsidRDefault="00511DC5" w:rsidP="00DC75D3">
      <w:pPr>
        <w:spacing w:after="0"/>
        <w:ind w:firstLine="720"/>
        <w:rPr>
          <w:rFonts w:ascii="Arial" w:hAnsi="Arial" w:cs="Arial"/>
        </w:rPr>
      </w:pPr>
    </w:p>
    <w:p w14:paraId="3039EABB" w14:textId="64D2EC5C" w:rsidR="00511DC5" w:rsidRDefault="00120543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Equipment:</w:t>
      </w:r>
    </w:p>
    <w:p w14:paraId="5F151044" w14:textId="77777777" w:rsidR="00120543" w:rsidRDefault="00120543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tbl>
      <w:tblPr>
        <w:tblStyle w:val="PlainTable2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42"/>
        <w:gridCol w:w="1219"/>
      </w:tblGrid>
      <w:tr w:rsidR="00120543" w14:paraId="2F77A80C" w14:textId="77777777" w:rsidTr="00A03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4472C4" w:themeFill="accent1"/>
          </w:tcPr>
          <w:p w14:paraId="2D294674" w14:textId="77777777" w:rsidR="00120543" w:rsidRPr="00CD78C1" w:rsidRDefault="00120543" w:rsidP="00A0375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3442" w:type="dxa"/>
            <w:shd w:val="clear" w:color="auto" w:fill="4472C4" w:themeFill="accent1"/>
          </w:tcPr>
          <w:p w14:paraId="2380AE07" w14:textId="77777777" w:rsidR="00120543" w:rsidRPr="00CD78C1" w:rsidRDefault="00120543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Justification</w:t>
            </w:r>
          </w:p>
        </w:tc>
        <w:tc>
          <w:tcPr>
            <w:tcW w:w="1219" w:type="dxa"/>
            <w:shd w:val="clear" w:color="auto" w:fill="4472C4" w:themeFill="accent1"/>
          </w:tcPr>
          <w:p w14:paraId="1AA10CE0" w14:textId="77777777" w:rsidR="00120543" w:rsidRPr="00CD78C1" w:rsidRDefault="00120543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120543" w14:paraId="77471A18" w14:textId="77777777" w:rsidTr="00A0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C769074" w14:textId="77777777" w:rsidR="00120543" w:rsidRPr="00046CB8" w:rsidRDefault="00120543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N/A</w:t>
            </w:r>
          </w:p>
        </w:tc>
        <w:tc>
          <w:tcPr>
            <w:tcW w:w="3442" w:type="dxa"/>
          </w:tcPr>
          <w:p w14:paraId="0B907F8C" w14:textId="77777777" w:rsidR="00120543" w:rsidRPr="00CA4F75" w:rsidRDefault="00120543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19" w:type="dxa"/>
          </w:tcPr>
          <w:p w14:paraId="4179C353" w14:textId="77777777" w:rsidR="00120543" w:rsidRPr="00CA4F75" w:rsidRDefault="00120543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069A2707" w14:textId="77777777" w:rsidR="00120543" w:rsidRDefault="00120543" w:rsidP="00DC75D3">
      <w:pPr>
        <w:spacing w:after="0"/>
        <w:ind w:firstLine="720"/>
        <w:rPr>
          <w:rFonts w:ascii="Arial" w:hAnsi="Arial" w:cs="Arial"/>
        </w:rPr>
      </w:pPr>
    </w:p>
    <w:p w14:paraId="4FF9639E" w14:textId="77777777" w:rsidR="00E8640B" w:rsidRDefault="00E8640B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p w14:paraId="557721DE" w14:textId="71C93B6B" w:rsidR="00E8640B" w:rsidRDefault="00E8640B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Access charges:</w:t>
      </w:r>
    </w:p>
    <w:p w14:paraId="3BA2493F" w14:textId="77777777" w:rsidR="00E8640B" w:rsidRDefault="00E8640B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tbl>
      <w:tblPr>
        <w:tblStyle w:val="PlainTable2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3"/>
        <w:gridCol w:w="3442"/>
        <w:gridCol w:w="1219"/>
      </w:tblGrid>
      <w:tr w:rsidR="00E8640B" w14:paraId="5EF8B223" w14:textId="77777777" w:rsidTr="00A037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shd w:val="clear" w:color="auto" w:fill="4472C4" w:themeFill="accent1"/>
          </w:tcPr>
          <w:p w14:paraId="0EB71DEF" w14:textId="77777777" w:rsidR="00E8640B" w:rsidRPr="00CD78C1" w:rsidRDefault="00E8640B" w:rsidP="00A0375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3442" w:type="dxa"/>
            <w:shd w:val="clear" w:color="auto" w:fill="4472C4" w:themeFill="accent1"/>
          </w:tcPr>
          <w:p w14:paraId="2204006A" w14:textId="77777777" w:rsidR="00E8640B" w:rsidRPr="00CD78C1" w:rsidRDefault="00E8640B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Justification</w:t>
            </w:r>
          </w:p>
        </w:tc>
        <w:tc>
          <w:tcPr>
            <w:tcW w:w="1219" w:type="dxa"/>
            <w:shd w:val="clear" w:color="auto" w:fill="4472C4" w:themeFill="accent1"/>
          </w:tcPr>
          <w:p w14:paraId="0E90AAE4" w14:textId="77777777" w:rsidR="00E8640B" w:rsidRPr="00CD78C1" w:rsidRDefault="00E8640B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E8640B" w14:paraId="5C16CA32" w14:textId="77777777" w:rsidTr="00A037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5D6C33B" w14:textId="77777777" w:rsidR="00E8640B" w:rsidRPr="00046CB8" w:rsidRDefault="00E8640B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N/A</w:t>
            </w:r>
          </w:p>
        </w:tc>
        <w:tc>
          <w:tcPr>
            <w:tcW w:w="3442" w:type="dxa"/>
          </w:tcPr>
          <w:p w14:paraId="1B0C7219" w14:textId="77777777" w:rsidR="00E8640B" w:rsidRPr="00CA4F75" w:rsidRDefault="00E8640B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19" w:type="dxa"/>
          </w:tcPr>
          <w:p w14:paraId="4781DD62" w14:textId="77777777" w:rsidR="00E8640B" w:rsidRPr="00CA4F75" w:rsidRDefault="00E8640B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14:paraId="48C2972E" w14:textId="77777777" w:rsidR="00C16E35" w:rsidRDefault="00C16E35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p w14:paraId="0E381A11" w14:textId="324CD636" w:rsidR="001F0A24" w:rsidRDefault="00C36476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Travel and subsistence:</w:t>
      </w:r>
    </w:p>
    <w:p w14:paraId="025B3600" w14:textId="77777777" w:rsidR="00C36476" w:rsidRDefault="00C36476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tbl>
      <w:tblPr>
        <w:tblStyle w:val="PlainTable2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4678"/>
        <w:gridCol w:w="1077"/>
      </w:tblGrid>
      <w:tr w:rsidR="00C36476" w14:paraId="27588385" w14:textId="77777777" w:rsidTr="005C4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4472C4" w:themeFill="accent1"/>
          </w:tcPr>
          <w:p w14:paraId="0CCE43E8" w14:textId="77777777" w:rsidR="00C36476" w:rsidRPr="00CD78C1" w:rsidRDefault="00C36476" w:rsidP="00A0375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4678" w:type="dxa"/>
            <w:shd w:val="clear" w:color="auto" w:fill="4472C4" w:themeFill="accent1"/>
          </w:tcPr>
          <w:p w14:paraId="600FE5D5" w14:textId="77777777" w:rsidR="00C36476" w:rsidRPr="00CD78C1" w:rsidRDefault="00C36476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Justification</w:t>
            </w:r>
          </w:p>
        </w:tc>
        <w:tc>
          <w:tcPr>
            <w:tcW w:w="1077" w:type="dxa"/>
            <w:shd w:val="clear" w:color="auto" w:fill="4472C4" w:themeFill="accent1"/>
          </w:tcPr>
          <w:p w14:paraId="5CF11251" w14:textId="77777777" w:rsidR="00C36476" w:rsidRPr="00CD78C1" w:rsidRDefault="00C36476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C36476" w14:paraId="7D1D08C3" w14:textId="77777777" w:rsidTr="005C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9BA53D8" w14:textId="78D3CB4A" w:rsidR="00C36476" w:rsidRPr="00046CB8" w:rsidRDefault="00286B82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Lincoln-Bangladesh </w:t>
            </w:r>
            <w:r w:rsidR="00093163">
              <w:rPr>
                <w:rFonts w:ascii="Arial" w:hAnsi="Arial" w:cs="Arial"/>
                <w:b w:val="0"/>
                <w:bCs w:val="0"/>
              </w:rPr>
              <w:t>f</w:t>
            </w:r>
            <w:r>
              <w:rPr>
                <w:rFonts w:ascii="Arial" w:hAnsi="Arial" w:cs="Arial"/>
                <w:b w:val="0"/>
                <w:bCs w:val="0"/>
              </w:rPr>
              <w:t>light and transfers</w:t>
            </w:r>
            <w:r w:rsidR="00981228">
              <w:rPr>
                <w:rFonts w:ascii="Arial" w:hAnsi="Arial" w:cs="Arial"/>
                <w:b w:val="0"/>
                <w:bCs w:val="0"/>
              </w:rPr>
              <w:t xml:space="preserve"> (1 x person, 1 x trip)</w:t>
            </w:r>
          </w:p>
        </w:tc>
        <w:tc>
          <w:tcPr>
            <w:tcW w:w="4678" w:type="dxa"/>
          </w:tcPr>
          <w:p w14:paraId="4C2F46BB" w14:textId="7458C32C" w:rsidR="00C36476" w:rsidRPr="00CA4F75" w:rsidRDefault="00917C94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Data-scarce field site, </w:t>
            </w:r>
            <w:r w:rsidR="008435F6">
              <w:rPr>
                <w:rFonts w:ascii="Arial" w:hAnsi="Arial" w:cs="Arial"/>
              </w:rPr>
              <w:t xml:space="preserve">waste disposal super-emitters. </w:t>
            </w:r>
            <w:r w:rsidR="00286B82">
              <w:rPr>
                <w:rFonts w:ascii="Arial" w:hAnsi="Arial" w:cs="Arial"/>
              </w:rPr>
              <w:t xml:space="preserve">In-country field work to establish PPIE groups, conduct community, </w:t>
            </w:r>
            <w:proofErr w:type="gramStart"/>
            <w:r w:rsidR="00286B82">
              <w:rPr>
                <w:rFonts w:ascii="Arial" w:hAnsi="Arial" w:cs="Arial"/>
              </w:rPr>
              <w:t>industry</w:t>
            </w:r>
            <w:proofErr w:type="gramEnd"/>
            <w:r w:rsidR="00286B82">
              <w:rPr>
                <w:rFonts w:ascii="Arial" w:hAnsi="Arial" w:cs="Arial"/>
              </w:rPr>
              <w:t xml:space="preserve"> and clinical consultation to inform dashboard development, establish stakeholder engagement board for online innovation labs</w:t>
            </w:r>
            <w:r w:rsidR="00420731">
              <w:rPr>
                <w:rFonts w:ascii="Arial" w:hAnsi="Arial" w:cs="Arial"/>
              </w:rPr>
              <w:t>.</w:t>
            </w:r>
          </w:p>
        </w:tc>
        <w:tc>
          <w:tcPr>
            <w:tcW w:w="1077" w:type="dxa"/>
          </w:tcPr>
          <w:p w14:paraId="4CB955CA" w14:textId="33411182" w:rsidR="00C36476" w:rsidRPr="00CA4F75" w:rsidRDefault="00420731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1100</w:t>
            </w:r>
          </w:p>
        </w:tc>
      </w:tr>
      <w:tr w:rsidR="00C36476" w14:paraId="23F93CC2" w14:textId="77777777" w:rsidTr="005C47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A75539" w14:textId="79B4C737" w:rsidR="00C36476" w:rsidRDefault="00954476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Bangladesh accommodation (</w:t>
            </w:r>
            <w:r w:rsidR="00981228">
              <w:rPr>
                <w:rFonts w:ascii="Arial" w:hAnsi="Arial" w:cs="Arial"/>
                <w:b w:val="0"/>
                <w:bCs w:val="0"/>
              </w:rPr>
              <w:t xml:space="preserve">1 x person, 1 x person, </w:t>
            </w:r>
            <w:r>
              <w:rPr>
                <w:rFonts w:ascii="Arial" w:hAnsi="Arial" w:cs="Arial"/>
                <w:b w:val="0"/>
                <w:bCs w:val="0"/>
              </w:rPr>
              <w:t>5 x nights)</w:t>
            </w:r>
          </w:p>
        </w:tc>
        <w:tc>
          <w:tcPr>
            <w:tcW w:w="4678" w:type="dxa"/>
          </w:tcPr>
          <w:p w14:paraId="537D56B4" w14:textId="07435EC1" w:rsidR="00C36476" w:rsidRDefault="00954476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above.</w:t>
            </w:r>
          </w:p>
        </w:tc>
        <w:tc>
          <w:tcPr>
            <w:tcW w:w="1077" w:type="dxa"/>
          </w:tcPr>
          <w:p w14:paraId="0A741FEB" w14:textId="6B659C4D" w:rsidR="00C36476" w:rsidRDefault="00954476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550</w:t>
            </w:r>
          </w:p>
        </w:tc>
      </w:tr>
      <w:tr w:rsidR="00954476" w14:paraId="71E40451" w14:textId="77777777" w:rsidTr="005C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D50326A" w14:textId="136CF33F" w:rsidR="00954476" w:rsidRDefault="00954476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Bangladesh subsistence (</w:t>
            </w:r>
            <w:r w:rsidR="001D4B62">
              <w:rPr>
                <w:rFonts w:ascii="Arial" w:hAnsi="Arial" w:cs="Arial"/>
                <w:b w:val="0"/>
                <w:bCs w:val="0"/>
              </w:rPr>
              <w:t xml:space="preserve">1 x person, </w:t>
            </w:r>
            <w:r>
              <w:rPr>
                <w:rFonts w:ascii="Arial" w:hAnsi="Arial" w:cs="Arial"/>
                <w:b w:val="0"/>
                <w:bCs w:val="0"/>
              </w:rPr>
              <w:t>5 x nights)</w:t>
            </w:r>
          </w:p>
        </w:tc>
        <w:tc>
          <w:tcPr>
            <w:tcW w:w="4678" w:type="dxa"/>
          </w:tcPr>
          <w:p w14:paraId="58AAB33F" w14:textId="007EC5E3" w:rsidR="00954476" w:rsidRDefault="00A01FCF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above. </w:t>
            </w:r>
          </w:p>
        </w:tc>
        <w:tc>
          <w:tcPr>
            <w:tcW w:w="1077" w:type="dxa"/>
          </w:tcPr>
          <w:p w14:paraId="27AB4E35" w14:textId="3DCCAA09" w:rsidR="00954476" w:rsidRDefault="00A01FCF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  <w:tr w:rsidR="00954476" w14:paraId="3F2DC187" w14:textId="77777777" w:rsidTr="005C47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386990D" w14:textId="3CF60EA5" w:rsidR="00954476" w:rsidRDefault="002544F5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Lincoln-London rail fare</w:t>
            </w:r>
            <w:r w:rsidR="0016662C">
              <w:rPr>
                <w:rFonts w:ascii="Arial" w:hAnsi="Arial" w:cs="Arial"/>
                <w:b w:val="0"/>
                <w:bCs w:val="0"/>
              </w:rPr>
              <w:t xml:space="preserve"> (2</w:t>
            </w:r>
            <w:r w:rsidR="001D4B62">
              <w:rPr>
                <w:rFonts w:ascii="Arial" w:hAnsi="Arial" w:cs="Arial"/>
                <w:b w:val="0"/>
                <w:bCs w:val="0"/>
              </w:rPr>
              <w:t xml:space="preserve"> x people, 2</w:t>
            </w:r>
            <w:r w:rsidR="0016662C">
              <w:rPr>
                <w:rFonts w:ascii="Arial" w:hAnsi="Arial" w:cs="Arial"/>
                <w:b w:val="0"/>
                <w:bCs w:val="0"/>
              </w:rPr>
              <w:t xml:space="preserve"> x trips)</w:t>
            </w:r>
          </w:p>
        </w:tc>
        <w:tc>
          <w:tcPr>
            <w:tcW w:w="4678" w:type="dxa"/>
          </w:tcPr>
          <w:p w14:paraId="6DAA6ADA" w14:textId="0D6511C4" w:rsidR="00954476" w:rsidRDefault="00917C94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Data-rich field site, agricultural and mining super-emitters. </w:t>
            </w:r>
            <w:r w:rsidR="00C81D8F">
              <w:rPr>
                <w:rFonts w:ascii="Arial" w:hAnsi="Arial" w:cs="Arial"/>
              </w:rPr>
              <w:t>UK based field work to conduct industry and clinical consultation to inform dashboard development</w:t>
            </w:r>
            <w:r w:rsidR="000D7326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077" w:type="dxa"/>
          </w:tcPr>
          <w:p w14:paraId="3DD212F3" w14:textId="73EFBEDD" w:rsidR="00954476" w:rsidRDefault="00566849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</w:tr>
      <w:tr w:rsidR="00954476" w14:paraId="6BDA5132" w14:textId="77777777" w:rsidTr="005C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9663C4C" w14:textId="5DE553B7" w:rsidR="00954476" w:rsidRDefault="005362AB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London accommodation (2 x night</w:t>
            </w:r>
            <w:r w:rsidR="0065522D">
              <w:rPr>
                <w:rFonts w:ascii="Arial" w:hAnsi="Arial" w:cs="Arial"/>
                <w:b w:val="0"/>
                <w:bCs w:val="0"/>
              </w:rPr>
              <w:t>, 2</w:t>
            </w:r>
            <w:r w:rsidR="00BC1CE4">
              <w:rPr>
                <w:rFonts w:ascii="Arial" w:hAnsi="Arial" w:cs="Arial"/>
                <w:b w:val="0"/>
                <w:bCs w:val="0"/>
              </w:rPr>
              <w:t xml:space="preserve"> x people, 2 x</w:t>
            </w:r>
            <w:r w:rsidR="0065522D">
              <w:rPr>
                <w:rFonts w:ascii="Arial" w:hAnsi="Arial" w:cs="Arial"/>
                <w:b w:val="0"/>
                <w:bCs w:val="0"/>
              </w:rPr>
              <w:t xml:space="preserve"> trips</w:t>
            </w:r>
            <w:r>
              <w:rPr>
                <w:rFonts w:ascii="Arial" w:hAnsi="Arial" w:cs="Arial"/>
                <w:b w:val="0"/>
                <w:bCs w:val="0"/>
              </w:rPr>
              <w:t>)</w:t>
            </w:r>
          </w:p>
        </w:tc>
        <w:tc>
          <w:tcPr>
            <w:tcW w:w="4678" w:type="dxa"/>
          </w:tcPr>
          <w:p w14:paraId="42240ACC" w14:textId="1857CB1C" w:rsidR="00954476" w:rsidRDefault="005362AB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above.</w:t>
            </w:r>
          </w:p>
        </w:tc>
        <w:tc>
          <w:tcPr>
            <w:tcW w:w="1077" w:type="dxa"/>
          </w:tcPr>
          <w:p w14:paraId="7BBF101E" w14:textId="7792FA80" w:rsidR="00954476" w:rsidRDefault="00566849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1120</w:t>
            </w:r>
          </w:p>
        </w:tc>
      </w:tr>
      <w:tr w:rsidR="00954476" w14:paraId="775D28A2" w14:textId="77777777" w:rsidTr="005C47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A7206D" w14:textId="6D98876B" w:rsidR="00954476" w:rsidRDefault="005362AB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London subsistence</w:t>
            </w:r>
            <w:r w:rsidR="00566849">
              <w:rPr>
                <w:rFonts w:ascii="Arial" w:hAnsi="Arial" w:cs="Arial"/>
                <w:b w:val="0"/>
                <w:bCs w:val="0"/>
              </w:rPr>
              <w:t xml:space="preserve"> (2 x nights, 2</w:t>
            </w:r>
            <w:r w:rsidR="00BC1CE4">
              <w:rPr>
                <w:rFonts w:ascii="Arial" w:hAnsi="Arial" w:cs="Arial"/>
                <w:b w:val="0"/>
                <w:bCs w:val="0"/>
              </w:rPr>
              <w:t xml:space="preserve"> x people,</w:t>
            </w:r>
            <w:r w:rsidR="00566849">
              <w:rPr>
                <w:rFonts w:ascii="Arial" w:hAnsi="Arial" w:cs="Arial"/>
                <w:b w:val="0"/>
                <w:bCs w:val="0"/>
              </w:rPr>
              <w:t xml:space="preserve"> 2</w:t>
            </w:r>
            <w:r w:rsidR="00BC1CE4">
              <w:rPr>
                <w:rFonts w:ascii="Arial" w:hAnsi="Arial" w:cs="Arial"/>
                <w:b w:val="0"/>
                <w:bCs w:val="0"/>
              </w:rPr>
              <w:t xml:space="preserve"> x</w:t>
            </w:r>
            <w:r w:rsidR="00566849">
              <w:rPr>
                <w:rFonts w:ascii="Arial" w:hAnsi="Arial" w:cs="Arial"/>
                <w:b w:val="0"/>
                <w:bCs w:val="0"/>
              </w:rPr>
              <w:t xml:space="preserve"> trips</w:t>
            </w:r>
          </w:p>
        </w:tc>
        <w:tc>
          <w:tcPr>
            <w:tcW w:w="4678" w:type="dxa"/>
          </w:tcPr>
          <w:p w14:paraId="4E93C805" w14:textId="03280844" w:rsidR="00954476" w:rsidRDefault="00566849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above.</w:t>
            </w:r>
          </w:p>
        </w:tc>
        <w:tc>
          <w:tcPr>
            <w:tcW w:w="1077" w:type="dxa"/>
          </w:tcPr>
          <w:p w14:paraId="166D3A2A" w14:textId="6FBCDF27" w:rsidR="00954476" w:rsidRDefault="009A6B99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</w:t>
            </w:r>
          </w:p>
        </w:tc>
      </w:tr>
      <w:tr w:rsidR="009A6B99" w14:paraId="6309A0A8" w14:textId="77777777" w:rsidTr="005C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F68C4FD" w14:textId="30AF4917" w:rsidR="009A6B99" w:rsidRDefault="00093163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Lincoln-Ghana flights and transfers</w:t>
            </w:r>
            <w:r w:rsidR="00BC1CE4">
              <w:rPr>
                <w:rFonts w:ascii="Arial" w:hAnsi="Arial" w:cs="Arial"/>
                <w:b w:val="0"/>
                <w:bCs w:val="0"/>
              </w:rPr>
              <w:t xml:space="preserve"> (1 x person, 1 x trip)</w:t>
            </w:r>
          </w:p>
        </w:tc>
        <w:tc>
          <w:tcPr>
            <w:tcW w:w="4678" w:type="dxa"/>
          </w:tcPr>
          <w:p w14:paraId="3159E1CC" w14:textId="104A1FB8" w:rsidR="009A6B99" w:rsidRDefault="008435F6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Data-scarce field site, mining super</w:t>
            </w:r>
            <w:r w:rsidR="00981228">
              <w:rPr>
                <w:rFonts w:ascii="Arial" w:hAnsi="Arial" w:cs="Arial"/>
              </w:rPr>
              <w:t xml:space="preserve">-emitters. </w:t>
            </w:r>
            <w:r w:rsidR="00114EAC">
              <w:rPr>
                <w:rFonts w:ascii="Arial" w:hAnsi="Arial" w:cs="Arial"/>
              </w:rPr>
              <w:t xml:space="preserve">In-country field work to establish PPIE groups, conduct community, </w:t>
            </w:r>
            <w:proofErr w:type="gramStart"/>
            <w:r w:rsidR="00114EAC">
              <w:rPr>
                <w:rFonts w:ascii="Arial" w:hAnsi="Arial" w:cs="Arial"/>
              </w:rPr>
              <w:t>industry</w:t>
            </w:r>
            <w:proofErr w:type="gramEnd"/>
            <w:r w:rsidR="00114EAC">
              <w:rPr>
                <w:rFonts w:ascii="Arial" w:hAnsi="Arial" w:cs="Arial"/>
              </w:rPr>
              <w:t xml:space="preserve"> and clinical consultation to inform dashboard development, establish stakeholder engagement board for online innovation labs.</w:t>
            </w:r>
          </w:p>
        </w:tc>
        <w:tc>
          <w:tcPr>
            <w:tcW w:w="1077" w:type="dxa"/>
          </w:tcPr>
          <w:p w14:paraId="60381850" w14:textId="2C7321F7" w:rsidR="009A6B99" w:rsidRDefault="00981228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1150</w:t>
            </w:r>
          </w:p>
        </w:tc>
      </w:tr>
      <w:tr w:rsidR="009A6B99" w14:paraId="6EE84CBD" w14:textId="77777777" w:rsidTr="005C47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36546F2" w14:textId="791ABD5A" w:rsidR="009A6B99" w:rsidRDefault="00981228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Accommodation (</w:t>
            </w:r>
            <w:r w:rsidR="00BC1CE4">
              <w:rPr>
                <w:rFonts w:ascii="Arial" w:hAnsi="Arial" w:cs="Arial"/>
                <w:b w:val="0"/>
                <w:bCs w:val="0"/>
              </w:rPr>
              <w:t xml:space="preserve">1 x person, </w:t>
            </w:r>
            <w:r>
              <w:rPr>
                <w:rFonts w:ascii="Arial" w:hAnsi="Arial" w:cs="Arial"/>
                <w:b w:val="0"/>
                <w:bCs w:val="0"/>
              </w:rPr>
              <w:t>5 x nights)</w:t>
            </w:r>
          </w:p>
        </w:tc>
        <w:tc>
          <w:tcPr>
            <w:tcW w:w="4678" w:type="dxa"/>
          </w:tcPr>
          <w:p w14:paraId="5F5F5355" w14:textId="5593D29F" w:rsidR="009A6B99" w:rsidRDefault="00BC1CE4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above.</w:t>
            </w:r>
          </w:p>
        </w:tc>
        <w:tc>
          <w:tcPr>
            <w:tcW w:w="1077" w:type="dxa"/>
          </w:tcPr>
          <w:p w14:paraId="670CBE2A" w14:textId="6D8DB95B" w:rsidR="009A6B99" w:rsidRDefault="00BC1CE4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</w:tr>
      <w:tr w:rsidR="009A6B99" w14:paraId="6B36B3AD" w14:textId="77777777" w:rsidTr="005C4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D4D5AF" w14:textId="0C0D62CB" w:rsidR="009A6B99" w:rsidRDefault="00F61432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Ghana subsistence (1 x person, 5 x nights)</w:t>
            </w:r>
          </w:p>
        </w:tc>
        <w:tc>
          <w:tcPr>
            <w:tcW w:w="4678" w:type="dxa"/>
          </w:tcPr>
          <w:p w14:paraId="6016917C" w14:textId="53E45553" w:rsidR="009A6B99" w:rsidRDefault="00F61432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above</w:t>
            </w:r>
          </w:p>
        </w:tc>
        <w:tc>
          <w:tcPr>
            <w:tcW w:w="1077" w:type="dxa"/>
          </w:tcPr>
          <w:p w14:paraId="5CD82600" w14:textId="680A7036" w:rsidR="009A6B99" w:rsidRDefault="00F61432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</w:t>
            </w:r>
          </w:p>
        </w:tc>
      </w:tr>
    </w:tbl>
    <w:p w14:paraId="4D507568" w14:textId="77777777" w:rsidR="00C36476" w:rsidRDefault="00C36476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p w14:paraId="51112697" w14:textId="52539E8B" w:rsidR="005C4798" w:rsidRDefault="00C943FB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Miscellaneous</w:t>
      </w:r>
      <w:r w:rsidR="00C25FCA">
        <w:rPr>
          <w:rFonts w:ascii="Arial" w:hAnsi="Arial" w:cs="Arial"/>
          <w:b/>
          <w:bCs/>
          <w:u w:val="single"/>
        </w:rPr>
        <w:t>/other</w:t>
      </w:r>
      <w:r>
        <w:rPr>
          <w:rFonts w:ascii="Arial" w:hAnsi="Arial" w:cs="Arial"/>
          <w:b/>
          <w:bCs/>
          <w:u w:val="single"/>
        </w:rPr>
        <w:t>:</w:t>
      </w:r>
    </w:p>
    <w:p w14:paraId="25D6FE1E" w14:textId="77777777" w:rsidR="005C4798" w:rsidRPr="00E8640B" w:rsidRDefault="00C943FB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PlainTable2"/>
        <w:tblW w:w="9781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520"/>
        <w:gridCol w:w="1134"/>
      </w:tblGrid>
      <w:tr w:rsidR="005C4798" w14:paraId="14D9669F" w14:textId="77777777" w:rsidTr="00B57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4472C4" w:themeFill="accent1"/>
          </w:tcPr>
          <w:p w14:paraId="43DF8A82" w14:textId="77777777" w:rsidR="005C4798" w:rsidRPr="00CD78C1" w:rsidRDefault="005C4798" w:rsidP="00A0375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6520" w:type="dxa"/>
            <w:shd w:val="clear" w:color="auto" w:fill="4472C4" w:themeFill="accent1"/>
          </w:tcPr>
          <w:p w14:paraId="71D16D3F" w14:textId="77777777" w:rsidR="005C4798" w:rsidRPr="00CD78C1" w:rsidRDefault="005C4798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Justification</w:t>
            </w:r>
          </w:p>
        </w:tc>
        <w:tc>
          <w:tcPr>
            <w:tcW w:w="1134" w:type="dxa"/>
            <w:shd w:val="clear" w:color="auto" w:fill="4472C4" w:themeFill="accent1"/>
          </w:tcPr>
          <w:p w14:paraId="0A5909CB" w14:textId="77777777" w:rsidR="005C4798" w:rsidRPr="00CD78C1" w:rsidRDefault="005C4798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5C4798" w14:paraId="6CDFDBE9" w14:textId="77777777" w:rsidTr="00B57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342AC3D" w14:textId="7C9A8949" w:rsidR="005C4798" w:rsidRPr="00046CB8" w:rsidRDefault="000333A4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Stakeholder</w:t>
            </w:r>
            <w:r w:rsidR="00EA7706">
              <w:rPr>
                <w:rFonts w:ascii="Arial" w:hAnsi="Arial" w:cs="Arial"/>
                <w:b w:val="0"/>
                <w:bCs w:val="0"/>
              </w:rPr>
              <w:t xml:space="preserve"> engagement board participation</w:t>
            </w:r>
            <w:r w:rsidR="00E27129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="0034230F">
              <w:rPr>
                <w:rFonts w:ascii="Arial" w:hAnsi="Arial" w:cs="Arial"/>
                <w:b w:val="0"/>
                <w:bCs w:val="0"/>
              </w:rPr>
              <w:t>reimbursement 10 x people (2 hours) per</w:t>
            </w:r>
            <w:r w:rsidR="00DE668F">
              <w:rPr>
                <w:rFonts w:ascii="Arial" w:hAnsi="Arial" w:cs="Arial"/>
                <w:b w:val="0"/>
                <w:bCs w:val="0"/>
              </w:rPr>
              <w:t xml:space="preserve"> 12 x month</w:t>
            </w:r>
          </w:p>
        </w:tc>
        <w:tc>
          <w:tcPr>
            <w:tcW w:w="6520" w:type="dxa"/>
          </w:tcPr>
          <w:p w14:paraId="5FD68F21" w14:textId="49F19DA7" w:rsidR="005C4798" w:rsidRPr="00CA4F75" w:rsidRDefault="000333A4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Supporting diversity and inclusion by compensating </w:t>
            </w:r>
            <w:r w:rsidR="00EA7706">
              <w:rPr>
                <w:rFonts w:ascii="Arial" w:hAnsi="Arial" w:cs="Arial"/>
              </w:rPr>
              <w:t>stakeholder representatives from each of three regions to attend monthly online</w:t>
            </w:r>
            <w:r w:rsidR="00276F18">
              <w:rPr>
                <w:rFonts w:ascii="Arial" w:hAnsi="Arial" w:cs="Arial"/>
              </w:rPr>
              <w:t xml:space="preserve"> </w:t>
            </w:r>
            <w:r w:rsidR="00A34D38">
              <w:rPr>
                <w:rFonts w:ascii="Arial" w:hAnsi="Arial" w:cs="Arial"/>
              </w:rPr>
              <w:t xml:space="preserve">engagement board innovation labs </w:t>
            </w:r>
            <w:r w:rsidR="00276F18">
              <w:rPr>
                <w:rFonts w:ascii="Arial" w:hAnsi="Arial" w:cs="Arial"/>
              </w:rPr>
              <w:t xml:space="preserve">to ensure dashboard is </w:t>
            </w:r>
            <w:r w:rsidR="004006F4">
              <w:rPr>
                <w:rFonts w:ascii="Arial" w:hAnsi="Arial" w:cs="Arial"/>
              </w:rPr>
              <w:t>co-</w:t>
            </w:r>
            <w:r w:rsidR="00276F18">
              <w:rPr>
                <w:rFonts w:ascii="Arial" w:hAnsi="Arial" w:cs="Arial"/>
              </w:rPr>
              <w:t xml:space="preserve">designed accessibly, sustainably, and ethically. </w:t>
            </w:r>
          </w:p>
        </w:tc>
        <w:tc>
          <w:tcPr>
            <w:tcW w:w="1134" w:type="dxa"/>
          </w:tcPr>
          <w:p w14:paraId="453DBF47" w14:textId="74FA7CBC" w:rsidR="005C4798" w:rsidRPr="00CA4F75" w:rsidRDefault="000333A4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  <w:r w:rsidR="00A400DB">
              <w:rPr>
                <w:rFonts w:ascii="Arial" w:hAnsi="Arial" w:cs="Arial"/>
              </w:rPr>
              <w:t>0</w:t>
            </w:r>
          </w:p>
        </w:tc>
      </w:tr>
      <w:tr w:rsidR="00E27129" w14:paraId="0A03A72A" w14:textId="77777777" w:rsidTr="00B57E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CBFA9F7" w14:textId="00281DE1" w:rsidR="00E27129" w:rsidRDefault="007D4A4C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Stakeholder</w:t>
            </w:r>
            <w:r w:rsidR="009A0847">
              <w:rPr>
                <w:rFonts w:ascii="Arial" w:hAnsi="Arial" w:cs="Arial"/>
                <w:b w:val="0"/>
                <w:bCs w:val="0"/>
              </w:rPr>
              <w:t xml:space="preserve">/LEE </w:t>
            </w:r>
            <w:r>
              <w:rPr>
                <w:rFonts w:ascii="Arial" w:hAnsi="Arial" w:cs="Arial"/>
                <w:b w:val="0"/>
                <w:bCs w:val="0"/>
              </w:rPr>
              <w:t xml:space="preserve">participation in </w:t>
            </w:r>
            <w:r w:rsidR="00EF24F3">
              <w:rPr>
                <w:rFonts w:ascii="Arial" w:hAnsi="Arial" w:cs="Arial"/>
                <w:b w:val="0"/>
                <w:bCs w:val="0"/>
              </w:rPr>
              <w:t>community</w:t>
            </w:r>
            <w:r w:rsidR="00884614">
              <w:rPr>
                <w:rFonts w:ascii="Arial" w:hAnsi="Arial" w:cs="Arial"/>
                <w:b w:val="0"/>
                <w:bCs w:val="0"/>
              </w:rPr>
              <w:t>-</w:t>
            </w:r>
            <w:r w:rsidR="00EF24F3">
              <w:rPr>
                <w:rFonts w:ascii="Arial" w:hAnsi="Arial" w:cs="Arial"/>
                <w:b w:val="0"/>
                <w:bCs w:val="0"/>
              </w:rPr>
              <w:t>based innovation labs (20 people</w:t>
            </w:r>
            <w:r w:rsidR="00801273">
              <w:rPr>
                <w:rFonts w:ascii="Arial" w:hAnsi="Arial" w:cs="Arial"/>
                <w:b w:val="0"/>
                <w:bCs w:val="0"/>
              </w:rPr>
              <w:t xml:space="preserve"> x 3 regions x 2 labs)</w:t>
            </w:r>
          </w:p>
        </w:tc>
        <w:tc>
          <w:tcPr>
            <w:tcW w:w="6520" w:type="dxa"/>
          </w:tcPr>
          <w:p w14:paraId="6FE83D52" w14:textId="15B2192E" w:rsidR="00E27129" w:rsidRDefault="007A389C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Supporting accessibility, </w:t>
            </w:r>
            <w:proofErr w:type="gramStart"/>
            <w:r>
              <w:rPr>
                <w:rFonts w:ascii="Arial" w:hAnsi="Arial" w:cs="Arial"/>
              </w:rPr>
              <w:t>usability</w:t>
            </w:r>
            <w:proofErr w:type="gramEnd"/>
            <w:r>
              <w:rPr>
                <w:rFonts w:ascii="Arial" w:hAnsi="Arial" w:cs="Arial"/>
              </w:rPr>
              <w:t xml:space="preserve"> and sustainability by c</w:t>
            </w:r>
            <w:r w:rsidR="004006F4">
              <w:rPr>
                <w:rFonts w:ascii="Arial" w:hAnsi="Arial" w:cs="Arial"/>
              </w:rPr>
              <w:t>o-designing the dashboard prototype with communities from three regions</w:t>
            </w:r>
            <w:r w:rsidR="00142216">
              <w:rPr>
                <w:rFonts w:ascii="Arial" w:hAnsi="Arial" w:cs="Arial"/>
              </w:rPr>
              <w:t>. Innovation labs will promote data credibility</w:t>
            </w:r>
            <w:r w:rsidR="000558A2">
              <w:rPr>
                <w:rFonts w:ascii="Arial" w:hAnsi="Arial" w:cs="Arial"/>
              </w:rPr>
              <w:t xml:space="preserve"> and </w:t>
            </w:r>
            <w:r w:rsidR="00142216">
              <w:rPr>
                <w:rFonts w:ascii="Arial" w:hAnsi="Arial" w:cs="Arial"/>
              </w:rPr>
              <w:t>trustworthiness</w:t>
            </w:r>
            <w:r w:rsidR="000558A2">
              <w:rPr>
                <w:rFonts w:ascii="Arial" w:hAnsi="Arial" w:cs="Arial"/>
              </w:rPr>
              <w:t>, ensuring the dashboard facilitates safely</w:t>
            </w:r>
            <w:r w:rsidR="00955E43">
              <w:rPr>
                <w:rFonts w:ascii="Arial" w:hAnsi="Arial" w:cs="Arial"/>
              </w:rPr>
              <w:t xml:space="preserve"> data sharing and use. </w:t>
            </w:r>
            <w:r w:rsidR="00BC5A0F">
              <w:rPr>
                <w:rFonts w:ascii="Arial" w:hAnsi="Arial" w:cs="Arial"/>
              </w:rPr>
              <w:t xml:space="preserve">LEE participation </w:t>
            </w:r>
            <w:r w:rsidR="00933174">
              <w:rPr>
                <w:rFonts w:ascii="Arial" w:hAnsi="Arial" w:cs="Arial"/>
              </w:rPr>
              <w:t xml:space="preserve">will </w:t>
            </w:r>
            <w:r w:rsidR="00380BE7">
              <w:rPr>
                <w:rFonts w:ascii="Arial" w:hAnsi="Arial" w:cs="Arial"/>
              </w:rPr>
              <w:t>facilitate social mobility</w:t>
            </w:r>
            <w:r w:rsidR="0066695F">
              <w:rPr>
                <w:rFonts w:ascii="Arial" w:hAnsi="Arial" w:cs="Arial"/>
              </w:rPr>
              <w:t>, promote knowledge transfer and sharing between researchers and LEEs, and</w:t>
            </w:r>
            <w:r w:rsidR="006005AA">
              <w:rPr>
                <w:rFonts w:ascii="Arial" w:hAnsi="Arial" w:cs="Arial"/>
              </w:rPr>
              <w:t xml:space="preserve"> provide opportunities for skill development, encouraging </w:t>
            </w:r>
            <w:r w:rsidR="00767BC5">
              <w:rPr>
                <w:rFonts w:ascii="Arial" w:hAnsi="Arial" w:cs="Arial"/>
              </w:rPr>
              <w:t xml:space="preserve">within country research culture and environment. </w:t>
            </w:r>
          </w:p>
        </w:tc>
        <w:tc>
          <w:tcPr>
            <w:tcW w:w="1134" w:type="dxa"/>
          </w:tcPr>
          <w:p w14:paraId="3B8575C4" w14:textId="16364E47" w:rsidR="00E27129" w:rsidRDefault="002E5C51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9000</w:t>
            </w:r>
          </w:p>
        </w:tc>
      </w:tr>
      <w:tr w:rsidR="00E27129" w14:paraId="20D17B45" w14:textId="77777777" w:rsidTr="00B57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FBA8416" w14:textId="66641B16" w:rsidR="00E27129" w:rsidRDefault="002E5C51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 xml:space="preserve">Web development subcontract, </w:t>
            </w:r>
            <w:r>
              <w:rPr>
                <w:rFonts w:ascii="Arial" w:hAnsi="Arial" w:cs="Arial"/>
                <w:b w:val="0"/>
                <w:bCs w:val="0"/>
              </w:rPr>
              <w:lastRenderedPageBreak/>
              <w:t>inclusive of site travels</w:t>
            </w:r>
          </w:p>
        </w:tc>
        <w:tc>
          <w:tcPr>
            <w:tcW w:w="6520" w:type="dxa"/>
          </w:tcPr>
          <w:p w14:paraId="416A3315" w14:textId="2EBBA9E2" w:rsidR="00E27129" w:rsidRDefault="00645F97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Some regions involved in the research</w:t>
            </w:r>
            <w:r w:rsidR="00CB14C5">
              <w:rPr>
                <w:rFonts w:ascii="Arial" w:hAnsi="Arial" w:cs="Arial"/>
              </w:rPr>
              <w:t xml:space="preserve"> include communities with technology hesitancy and low science literacy. </w:t>
            </w:r>
            <w:r w:rsidR="00884614">
              <w:rPr>
                <w:rFonts w:ascii="Arial" w:hAnsi="Arial" w:cs="Arial"/>
              </w:rPr>
              <w:t xml:space="preserve">Facilitating co-production between our partners and UX/UI designers will </w:t>
            </w:r>
            <w:r w:rsidR="00884614">
              <w:rPr>
                <w:rFonts w:ascii="Arial" w:hAnsi="Arial" w:cs="Arial"/>
              </w:rPr>
              <w:lastRenderedPageBreak/>
              <w:t>ensure usability, and representation of diverse user needs</w:t>
            </w:r>
            <w:r w:rsidR="005D7455">
              <w:rPr>
                <w:rFonts w:ascii="Arial" w:hAnsi="Arial" w:cs="Arial"/>
              </w:rPr>
              <w:t xml:space="preserve"> incorporating culturally appropriate interface features. </w:t>
            </w:r>
          </w:p>
        </w:tc>
        <w:tc>
          <w:tcPr>
            <w:tcW w:w="1134" w:type="dxa"/>
          </w:tcPr>
          <w:p w14:paraId="22368678" w14:textId="41EEB3D2" w:rsidR="00E27129" w:rsidRDefault="00813467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35634</w:t>
            </w:r>
          </w:p>
        </w:tc>
      </w:tr>
    </w:tbl>
    <w:p w14:paraId="14E07AC2" w14:textId="77777777" w:rsidR="00B57EE6" w:rsidRDefault="00B57EE6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p w14:paraId="3183CAE5" w14:textId="02ABD394" w:rsidR="0064621F" w:rsidRDefault="00D43778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Summary of costs requested:</w:t>
      </w:r>
    </w:p>
    <w:p w14:paraId="17EF6AFA" w14:textId="77777777" w:rsidR="00D43778" w:rsidRDefault="00D43778" w:rsidP="00DC75D3">
      <w:pPr>
        <w:spacing w:after="0"/>
        <w:ind w:firstLine="720"/>
        <w:rPr>
          <w:rFonts w:ascii="Arial" w:hAnsi="Arial" w:cs="Arial"/>
          <w:b/>
          <w:bCs/>
          <w:u w:val="single"/>
        </w:rPr>
      </w:pPr>
    </w:p>
    <w:tbl>
      <w:tblPr>
        <w:tblStyle w:val="PlainTable2"/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3"/>
        <w:gridCol w:w="1599"/>
      </w:tblGrid>
      <w:tr w:rsidR="0070561E" w14:paraId="1AF3B3F1" w14:textId="77777777" w:rsidTr="00705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  <w:shd w:val="clear" w:color="auto" w:fill="4472C4" w:themeFill="accent1"/>
          </w:tcPr>
          <w:p w14:paraId="5BE1EB1E" w14:textId="77777777" w:rsidR="0070561E" w:rsidRPr="00CD78C1" w:rsidRDefault="0070561E" w:rsidP="00A0375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Description</w:t>
            </w:r>
          </w:p>
        </w:tc>
        <w:tc>
          <w:tcPr>
            <w:tcW w:w="1599" w:type="dxa"/>
            <w:shd w:val="clear" w:color="auto" w:fill="4472C4" w:themeFill="accent1"/>
          </w:tcPr>
          <w:p w14:paraId="4BA52E72" w14:textId="77777777" w:rsidR="0070561E" w:rsidRPr="00CD78C1" w:rsidRDefault="0070561E" w:rsidP="00A037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Total (£)</w:t>
            </w:r>
          </w:p>
        </w:tc>
      </w:tr>
      <w:tr w:rsidR="0070561E" w14:paraId="1C804417" w14:textId="77777777" w:rsidTr="0070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124AE6F1" w14:textId="3F3BB3D4" w:rsidR="0070561E" w:rsidRPr="00046CB8" w:rsidRDefault="00C25FCA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Salaries</w:t>
            </w:r>
          </w:p>
        </w:tc>
        <w:tc>
          <w:tcPr>
            <w:tcW w:w="1599" w:type="dxa"/>
          </w:tcPr>
          <w:p w14:paraId="7D0AA59C" w14:textId="49A289BD" w:rsidR="0070561E" w:rsidRPr="00CA4F75" w:rsidRDefault="00A0008A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43925.92</w:t>
            </w:r>
          </w:p>
        </w:tc>
      </w:tr>
      <w:tr w:rsidR="0070561E" w14:paraId="65EB1AC2" w14:textId="77777777" w:rsidTr="00705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7F94236A" w14:textId="3A9C56C5" w:rsidR="0070561E" w:rsidRDefault="00C25FCA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Materials &amp; consumables</w:t>
            </w:r>
          </w:p>
        </w:tc>
        <w:tc>
          <w:tcPr>
            <w:tcW w:w="1599" w:type="dxa"/>
          </w:tcPr>
          <w:p w14:paraId="711FA433" w14:textId="6F8FD1F6" w:rsidR="0070561E" w:rsidRDefault="00A0008A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0561E" w14:paraId="65418809" w14:textId="77777777" w:rsidTr="0070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076E636A" w14:textId="556ECA92" w:rsidR="0070561E" w:rsidRDefault="00C25FCA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Equipment</w:t>
            </w:r>
          </w:p>
        </w:tc>
        <w:tc>
          <w:tcPr>
            <w:tcW w:w="1599" w:type="dxa"/>
          </w:tcPr>
          <w:p w14:paraId="30E8924E" w14:textId="7105943C" w:rsidR="0070561E" w:rsidRDefault="00A0008A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0561E" w14:paraId="330487A2" w14:textId="77777777" w:rsidTr="007056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1E0CA8F9" w14:textId="7F160AAD" w:rsidR="0070561E" w:rsidRDefault="00C25FCA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Access charges</w:t>
            </w:r>
          </w:p>
        </w:tc>
        <w:tc>
          <w:tcPr>
            <w:tcW w:w="1599" w:type="dxa"/>
          </w:tcPr>
          <w:p w14:paraId="66BB1AEB" w14:textId="4BCD3E1C" w:rsidR="0070561E" w:rsidRDefault="00A0008A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70561E" w14:paraId="62D28A41" w14:textId="77777777" w:rsidTr="0070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0DC23EE3" w14:textId="535DC1AD" w:rsidR="0070561E" w:rsidRDefault="00C25FCA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Travel &amp; subsistence</w:t>
            </w:r>
          </w:p>
        </w:tc>
        <w:tc>
          <w:tcPr>
            <w:tcW w:w="1599" w:type="dxa"/>
          </w:tcPr>
          <w:p w14:paraId="6FF34608" w14:textId="6B245367" w:rsidR="0070561E" w:rsidRDefault="00161F3A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5440</w:t>
            </w:r>
          </w:p>
        </w:tc>
      </w:tr>
      <w:tr w:rsidR="00C25FCA" w14:paraId="3C26CC61" w14:textId="77777777" w:rsidTr="00A037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273D89C6" w14:textId="21C53D8E" w:rsidR="00C25FCA" w:rsidRDefault="00C25FCA" w:rsidP="00A03750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</w:rPr>
              <w:t>Miscellaneous/other</w:t>
            </w:r>
          </w:p>
        </w:tc>
        <w:tc>
          <w:tcPr>
            <w:tcW w:w="1599" w:type="dxa"/>
          </w:tcPr>
          <w:p w14:paraId="7EDB3FAD" w14:textId="60F27FCF" w:rsidR="00C25FCA" w:rsidRDefault="006918A3" w:rsidP="00A037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50634</w:t>
            </w:r>
          </w:p>
        </w:tc>
      </w:tr>
      <w:tr w:rsidR="00C25FCA" w14:paraId="11210F02" w14:textId="77777777" w:rsidTr="007056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3" w:type="dxa"/>
          </w:tcPr>
          <w:p w14:paraId="4F87F38A" w14:textId="7869A96C" w:rsidR="00C25FCA" w:rsidRPr="00C25FCA" w:rsidRDefault="00C25FCA" w:rsidP="00A03750">
            <w:pPr>
              <w:rPr>
                <w:rFonts w:ascii="Arial" w:hAnsi="Arial" w:cs="Arial"/>
              </w:rPr>
            </w:pPr>
            <w:r w:rsidRPr="00C25FCA">
              <w:rPr>
                <w:rFonts w:ascii="Arial" w:hAnsi="Arial" w:cs="Arial"/>
              </w:rPr>
              <w:t>Grand Total</w:t>
            </w:r>
          </w:p>
        </w:tc>
        <w:tc>
          <w:tcPr>
            <w:tcW w:w="1599" w:type="dxa"/>
          </w:tcPr>
          <w:p w14:paraId="2D96E6CD" w14:textId="7293A875" w:rsidR="00C25FCA" w:rsidRPr="006918A3" w:rsidRDefault="006918A3" w:rsidP="00A03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6918A3">
              <w:rPr>
                <w:rFonts w:ascii="Arial" w:hAnsi="Arial" w:cs="Arial"/>
                <w:b/>
                <w:bCs/>
              </w:rPr>
              <w:t>99999.92</w:t>
            </w:r>
          </w:p>
        </w:tc>
      </w:tr>
    </w:tbl>
    <w:p w14:paraId="5B2B6DE3" w14:textId="77777777" w:rsidR="00F538B7" w:rsidRDefault="00F538B7" w:rsidP="00DC75D3">
      <w:pPr>
        <w:spacing w:after="0"/>
        <w:ind w:firstLine="720"/>
        <w:rPr>
          <w:rFonts w:ascii="Arial" w:hAnsi="Arial" w:cs="Arial"/>
        </w:rPr>
      </w:pPr>
    </w:p>
    <w:p w14:paraId="104B36FA" w14:textId="3CD8907A" w:rsidR="00D43778" w:rsidRPr="00F538B7" w:rsidRDefault="00F538B7" w:rsidP="00DC75D3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*Final budget will include carbon off-setting</w:t>
      </w:r>
    </w:p>
    <w:sectPr w:rsidR="00D43778" w:rsidRPr="00F5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02129" w14:textId="77777777" w:rsidR="0025286F" w:rsidRDefault="0025286F" w:rsidP="0025286F">
      <w:pPr>
        <w:spacing w:after="0" w:line="240" w:lineRule="auto"/>
      </w:pPr>
      <w:r>
        <w:separator/>
      </w:r>
    </w:p>
  </w:endnote>
  <w:endnote w:type="continuationSeparator" w:id="0">
    <w:p w14:paraId="5DEE8660" w14:textId="77777777" w:rsidR="0025286F" w:rsidRDefault="0025286F" w:rsidP="0025286F">
      <w:pPr>
        <w:spacing w:after="0" w:line="240" w:lineRule="auto"/>
      </w:pPr>
      <w:r>
        <w:continuationSeparator/>
      </w:r>
    </w:p>
  </w:endnote>
  <w:endnote w:type="continuationNotice" w:id="1">
    <w:p w14:paraId="559418D6" w14:textId="77777777" w:rsidR="0025286F" w:rsidRDefault="002528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731C5" w14:textId="77777777" w:rsidR="0025286F" w:rsidRDefault="0025286F" w:rsidP="0025286F">
      <w:pPr>
        <w:spacing w:after="0" w:line="240" w:lineRule="auto"/>
      </w:pPr>
      <w:r>
        <w:separator/>
      </w:r>
    </w:p>
  </w:footnote>
  <w:footnote w:type="continuationSeparator" w:id="0">
    <w:p w14:paraId="73356BBA" w14:textId="77777777" w:rsidR="0025286F" w:rsidRDefault="0025286F" w:rsidP="0025286F">
      <w:pPr>
        <w:spacing w:after="0" w:line="240" w:lineRule="auto"/>
      </w:pPr>
      <w:r>
        <w:continuationSeparator/>
      </w:r>
    </w:p>
  </w:footnote>
  <w:footnote w:type="continuationNotice" w:id="1">
    <w:p w14:paraId="43444CBB" w14:textId="77777777" w:rsidR="0025286F" w:rsidRDefault="002528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36B7C"/>
    <w:multiLevelType w:val="hybridMultilevel"/>
    <w:tmpl w:val="83221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56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56"/>
    <w:rsid w:val="00001E7A"/>
    <w:rsid w:val="00004287"/>
    <w:rsid w:val="00006A90"/>
    <w:rsid w:val="0001344A"/>
    <w:rsid w:val="00014436"/>
    <w:rsid w:val="0002080E"/>
    <w:rsid w:val="000217EA"/>
    <w:rsid w:val="00027CAA"/>
    <w:rsid w:val="000333A4"/>
    <w:rsid w:val="0003474A"/>
    <w:rsid w:val="00035E41"/>
    <w:rsid w:val="00041C97"/>
    <w:rsid w:val="000422BB"/>
    <w:rsid w:val="00046CB8"/>
    <w:rsid w:val="0004791C"/>
    <w:rsid w:val="00052F2B"/>
    <w:rsid w:val="00054A57"/>
    <w:rsid w:val="000558A2"/>
    <w:rsid w:val="000561AE"/>
    <w:rsid w:val="0006065C"/>
    <w:rsid w:val="00060B20"/>
    <w:rsid w:val="00062620"/>
    <w:rsid w:val="0006603B"/>
    <w:rsid w:val="00071BB6"/>
    <w:rsid w:val="00073734"/>
    <w:rsid w:val="000739E5"/>
    <w:rsid w:val="00075B75"/>
    <w:rsid w:val="0008249B"/>
    <w:rsid w:val="000844A9"/>
    <w:rsid w:val="00092702"/>
    <w:rsid w:val="00093163"/>
    <w:rsid w:val="00096ACF"/>
    <w:rsid w:val="000A5B7F"/>
    <w:rsid w:val="000A684E"/>
    <w:rsid w:val="000B12D2"/>
    <w:rsid w:val="000B1C29"/>
    <w:rsid w:val="000B4B39"/>
    <w:rsid w:val="000C2FEE"/>
    <w:rsid w:val="000C376C"/>
    <w:rsid w:val="000C3E24"/>
    <w:rsid w:val="000D7326"/>
    <w:rsid w:val="000E7167"/>
    <w:rsid w:val="000F22F2"/>
    <w:rsid w:val="000F3B64"/>
    <w:rsid w:val="000F4A3C"/>
    <w:rsid w:val="000F67E8"/>
    <w:rsid w:val="000F7B4E"/>
    <w:rsid w:val="001014F6"/>
    <w:rsid w:val="00102480"/>
    <w:rsid w:val="001024A5"/>
    <w:rsid w:val="00102D14"/>
    <w:rsid w:val="001031A2"/>
    <w:rsid w:val="00105035"/>
    <w:rsid w:val="001123A6"/>
    <w:rsid w:val="00114EAC"/>
    <w:rsid w:val="00115B86"/>
    <w:rsid w:val="00117D47"/>
    <w:rsid w:val="00120543"/>
    <w:rsid w:val="00120CF7"/>
    <w:rsid w:val="001242C5"/>
    <w:rsid w:val="00126303"/>
    <w:rsid w:val="001324CE"/>
    <w:rsid w:val="0013443D"/>
    <w:rsid w:val="0013524B"/>
    <w:rsid w:val="00135B07"/>
    <w:rsid w:val="00142216"/>
    <w:rsid w:val="00145F8E"/>
    <w:rsid w:val="00152AF2"/>
    <w:rsid w:val="00161F3A"/>
    <w:rsid w:val="00162C33"/>
    <w:rsid w:val="0016662C"/>
    <w:rsid w:val="00166C1C"/>
    <w:rsid w:val="0017248B"/>
    <w:rsid w:val="001875E6"/>
    <w:rsid w:val="00187FDC"/>
    <w:rsid w:val="00192CC6"/>
    <w:rsid w:val="001A7E88"/>
    <w:rsid w:val="001B1393"/>
    <w:rsid w:val="001B367D"/>
    <w:rsid w:val="001B454A"/>
    <w:rsid w:val="001B4C26"/>
    <w:rsid w:val="001B7C15"/>
    <w:rsid w:val="001C030E"/>
    <w:rsid w:val="001C5C67"/>
    <w:rsid w:val="001D45EF"/>
    <w:rsid w:val="001D4B62"/>
    <w:rsid w:val="001D783E"/>
    <w:rsid w:val="001E2D33"/>
    <w:rsid w:val="001E33D1"/>
    <w:rsid w:val="001E3677"/>
    <w:rsid w:val="001E3F29"/>
    <w:rsid w:val="001E4498"/>
    <w:rsid w:val="001E5331"/>
    <w:rsid w:val="001E5B01"/>
    <w:rsid w:val="001F0A24"/>
    <w:rsid w:val="0020084B"/>
    <w:rsid w:val="0020380B"/>
    <w:rsid w:val="002148B8"/>
    <w:rsid w:val="00217F05"/>
    <w:rsid w:val="0022049C"/>
    <w:rsid w:val="0022398A"/>
    <w:rsid w:val="00223AA5"/>
    <w:rsid w:val="002335BA"/>
    <w:rsid w:val="00233A6A"/>
    <w:rsid w:val="002404D8"/>
    <w:rsid w:val="00245C95"/>
    <w:rsid w:val="00250EE7"/>
    <w:rsid w:val="0025286F"/>
    <w:rsid w:val="002529B2"/>
    <w:rsid w:val="002544F5"/>
    <w:rsid w:val="002630DD"/>
    <w:rsid w:val="00264098"/>
    <w:rsid w:val="0026413C"/>
    <w:rsid w:val="00266A47"/>
    <w:rsid w:val="0027068E"/>
    <w:rsid w:val="0027088F"/>
    <w:rsid w:val="002713FE"/>
    <w:rsid w:val="00271B92"/>
    <w:rsid w:val="002742A4"/>
    <w:rsid w:val="00276F18"/>
    <w:rsid w:val="002770A9"/>
    <w:rsid w:val="002778E0"/>
    <w:rsid w:val="00286B82"/>
    <w:rsid w:val="002875FF"/>
    <w:rsid w:val="002878BD"/>
    <w:rsid w:val="00290A7F"/>
    <w:rsid w:val="0029257F"/>
    <w:rsid w:val="0029378F"/>
    <w:rsid w:val="00293C79"/>
    <w:rsid w:val="00293DC2"/>
    <w:rsid w:val="00295261"/>
    <w:rsid w:val="0029568A"/>
    <w:rsid w:val="002A768B"/>
    <w:rsid w:val="002C1322"/>
    <w:rsid w:val="002C1BCA"/>
    <w:rsid w:val="002C3AB4"/>
    <w:rsid w:val="002C5604"/>
    <w:rsid w:val="002D018C"/>
    <w:rsid w:val="002D3B96"/>
    <w:rsid w:val="002D7267"/>
    <w:rsid w:val="002E3644"/>
    <w:rsid w:val="002E5C51"/>
    <w:rsid w:val="002F2B92"/>
    <w:rsid w:val="002F3CAE"/>
    <w:rsid w:val="00311EA3"/>
    <w:rsid w:val="00317B48"/>
    <w:rsid w:val="00317FD4"/>
    <w:rsid w:val="00325043"/>
    <w:rsid w:val="003276F5"/>
    <w:rsid w:val="0034184F"/>
    <w:rsid w:val="003419E7"/>
    <w:rsid w:val="0034230F"/>
    <w:rsid w:val="00342AFF"/>
    <w:rsid w:val="003460B1"/>
    <w:rsid w:val="00346719"/>
    <w:rsid w:val="00354C9B"/>
    <w:rsid w:val="003551DC"/>
    <w:rsid w:val="00360AC8"/>
    <w:rsid w:val="0036190F"/>
    <w:rsid w:val="003643F5"/>
    <w:rsid w:val="0037193B"/>
    <w:rsid w:val="003762C5"/>
    <w:rsid w:val="00380BE7"/>
    <w:rsid w:val="00391D6F"/>
    <w:rsid w:val="00394A82"/>
    <w:rsid w:val="00397CD4"/>
    <w:rsid w:val="003A165E"/>
    <w:rsid w:val="003A4A24"/>
    <w:rsid w:val="003A70BE"/>
    <w:rsid w:val="003B1C9D"/>
    <w:rsid w:val="003B3098"/>
    <w:rsid w:val="003B6485"/>
    <w:rsid w:val="003B6B5F"/>
    <w:rsid w:val="003B6BBE"/>
    <w:rsid w:val="003C25E9"/>
    <w:rsid w:val="003C5064"/>
    <w:rsid w:val="003C6C33"/>
    <w:rsid w:val="003D06E8"/>
    <w:rsid w:val="003E28B0"/>
    <w:rsid w:val="003E3527"/>
    <w:rsid w:val="003F3664"/>
    <w:rsid w:val="004006F4"/>
    <w:rsid w:val="00413EF9"/>
    <w:rsid w:val="00420731"/>
    <w:rsid w:val="00421492"/>
    <w:rsid w:val="00425296"/>
    <w:rsid w:val="0042700F"/>
    <w:rsid w:val="00453629"/>
    <w:rsid w:val="00457FB7"/>
    <w:rsid w:val="00475E58"/>
    <w:rsid w:val="00483245"/>
    <w:rsid w:val="00484038"/>
    <w:rsid w:val="0048780B"/>
    <w:rsid w:val="0049187E"/>
    <w:rsid w:val="00491B85"/>
    <w:rsid w:val="00491EEB"/>
    <w:rsid w:val="00492A3E"/>
    <w:rsid w:val="00494F39"/>
    <w:rsid w:val="0049739D"/>
    <w:rsid w:val="004A0432"/>
    <w:rsid w:val="004A172F"/>
    <w:rsid w:val="004A308E"/>
    <w:rsid w:val="004A3845"/>
    <w:rsid w:val="004A4587"/>
    <w:rsid w:val="004C18A8"/>
    <w:rsid w:val="004D1F8D"/>
    <w:rsid w:val="004D7770"/>
    <w:rsid w:val="004E26ED"/>
    <w:rsid w:val="004F613B"/>
    <w:rsid w:val="00503ADD"/>
    <w:rsid w:val="00506A0F"/>
    <w:rsid w:val="00511DC5"/>
    <w:rsid w:val="00513FA9"/>
    <w:rsid w:val="00515D18"/>
    <w:rsid w:val="00520535"/>
    <w:rsid w:val="0052405B"/>
    <w:rsid w:val="0053422F"/>
    <w:rsid w:val="00534F3F"/>
    <w:rsid w:val="00535D60"/>
    <w:rsid w:val="005362AB"/>
    <w:rsid w:val="00536921"/>
    <w:rsid w:val="00536ED7"/>
    <w:rsid w:val="00542AD3"/>
    <w:rsid w:val="00545A48"/>
    <w:rsid w:val="0055191A"/>
    <w:rsid w:val="00560F5F"/>
    <w:rsid w:val="005646D2"/>
    <w:rsid w:val="00566849"/>
    <w:rsid w:val="00572DD1"/>
    <w:rsid w:val="005732D6"/>
    <w:rsid w:val="00573783"/>
    <w:rsid w:val="00575905"/>
    <w:rsid w:val="00575B54"/>
    <w:rsid w:val="005948DE"/>
    <w:rsid w:val="005970A5"/>
    <w:rsid w:val="005A4799"/>
    <w:rsid w:val="005A4DB2"/>
    <w:rsid w:val="005A5F9D"/>
    <w:rsid w:val="005A7244"/>
    <w:rsid w:val="005C146E"/>
    <w:rsid w:val="005C3A49"/>
    <w:rsid w:val="005C4798"/>
    <w:rsid w:val="005C76BB"/>
    <w:rsid w:val="005D065A"/>
    <w:rsid w:val="005D1BDF"/>
    <w:rsid w:val="005D4DED"/>
    <w:rsid w:val="005D7455"/>
    <w:rsid w:val="005D7F30"/>
    <w:rsid w:val="005E16D1"/>
    <w:rsid w:val="005E5684"/>
    <w:rsid w:val="005F3AC2"/>
    <w:rsid w:val="005F4F6F"/>
    <w:rsid w:val="005F7F1C"/>
    <w:rsid w:val="006005AA"/>
    <w:rsid w:val="006007D0"/>
    <w:rsid w:val="006069FE"/>
    <w:rsid w:val="00615DAC"/>
    <w:rsid w:val="00617F4E"/>
    <w:rsid w:val="00622993"/>
    <w:rsid w:val="006229A7"/>
    <w:rsid w:val="0063167D"/>
    <w:rsid w:val="00636786"/>
    <w:rsid w:val="0064074B"/>
    <w:rsid w:val="006415A3"/>
    <w:rsid w:val="00642D6F"/>
    <w:rsid w:val="0064307B"/>
    <w:rsid w:val="00645F97"/>
    <w:rsid w:val="0064621F"/>
    <w:rsid w:val="00650011"/>
    <w:rsid w:val="0065522D"/>
    <w:rsid w:val="00656CC2"/>
    <w:rsid w:val="00656FC4"/>
    <w:rsid w:val="0066695F"/>
    <w:rsid w:val="0067422A"/>
    <w:rsid w:val="00674BAE"/>
    <w:rsid w:val="0068028B"/>
    <w:rsid w:val="00681A0C"/>
    <w:rsid w:val="00684835"/>
    <w:rsid w:val="006918A3"/>
    <w:rsid w:val="006A0BB6"/>
    <w:rsid w:val="006A2B0F"/>
    <w:rsid w:val="006A353D"/>
    <w:rsid w:val="006A36AA"/>
    <w:rsid w:val="006A36E4"/>
    <w:rsid w:val="006A5B65"/>
    <w:rsid w:val="006B4676"/>
    <w:rsid w:val="006C3166"/>
    <w:rsid w:val="006D696A"/>
    <w:rsid w:val="006D71B1"/>
    <w:rsid w:val="006D7377"/>
    <w:rsid w:val="006E35FA"/>
    <w:rsid w:val="006E3B64"/>
    <w:rsid w:val="006E3DF7"/>
    <w:rsid w:val="006E3E01"/>
    <w:rsid w:val="006F14B8"/>
    <w:rsid w:val="006F6DD5"/>
    <w:rsid w:val="007011F0"/>
    <w:rsid w:val="007024AA"/>
    <w:rsid w:val="0070292D"/>
    <w:rsid w:val="00704F68"/>
    <w:rsid w:val="0070561E"/>
    <w:rsid w:val="00705A42"/>
    <w:rsid w:val="00705D6D"/>
    <w:rsid w:val="00707E98"/>
    <w:rsid w:val="00732C73"/>
    <w:rsid w:val="00732D58"/>
    <w:rsid w:val="007333DF"/>
    <w:rsid w:val="00737E08"/>
    <w:rsid w:val="00740BAD"/>
    <w:rsid w:val="007475CD"/>
    <w:rsid w:val="0075305A"/>
    <w:rsid w:val="00754E13"/>
    <w:rsid w:val="00760B11"/>
    <w:rsid w:val="00764B50"/>
    <w:rsid w:val="00767BC5"/>
    <w:rsid w:val="00781744"/>
    <w:rsid w:val="007820B5"/>
    <w:rsid w:val="007828F3"/>
    <w:rsid w:val="0078529D"/>
    <w:rsid w:val="00792CFF"/>
    <w:rsid w:val="00795C7B"/>
    <w:rsid w:val="007A2607"/>
    <w:rsid w:val="007A389C"/>
    <w:rsid w:val="007A4854"/>
    <w:rsid w:val="007B18EC"/>
    <w:rsid w:val="007B1A1A"/>
    <w:rsid w:val="007B1B6F"/>
    <w:rsid w:val="007B4DE4"/>
    <w:rsid w:val="007B77A0"/>
    <w:rsid w:val="007C0BE7"/>
    <w:rsid w:val="007C144B"/>
    <w:rsid w:val="007C22A8"/>
    <w:rsid w:val="007C470D"/>
    <w:rsid w:val="007D2101"/>
    <w:rsid w:val="007D286C"/>
    <w:rsid w:val="007D4A4C"/>
    <w:rsid w:val="007D6142"/>
    <w:rsid w:val="007D7D9D"/>
    <w:rsid w:val="007E0850"/>
    <w:rsid w:val="007E108F"/>
    <w:rsid w:val="007E204F"/>
    <w:rsid w:val="007E21DB"/>
    <w:rsid w:val="007E2C0A"/>
    <w:rsid w:val="007E43E7"/>
    <w:rsid w:val="007F2B7A"/>
    <w:rsid w:val="00801273"/>
    <w:rsid w:val="00802C81"/>
    <w:rsid w:val="00802DE9"/>
    <w:rsid w:val="00803222"/>
    <w:rsid w:val="00803449"/>
    <w:rsid w:val="00805A80"/>
    <w:rsid w:val="00805BFF"/>
    <w:rsid w:val="00806B19"/>
    <w:rsid w:val="008070FE"/>
    <w:rsid w:val="00807462"/>
    <w:rsid w:val="0081084A"/>
    <w:rsid w:val="00813467"/>
    <w:rsid w:val="00827889"/>
    <w:rsid w:val="0083128A"/>
    <w:rsid w:val="0083219A"/>
    <w:rsid w:val="00840FD3"/>
    <w:rsid w:val="0084306D"/>
    <w:rsid w:val="008435F6"/>
    <w:rsid w:val="00851299"/>
    <w:rsid w:val="00852513"/>
    <w:rsid w:val="008539DF"/>
    <w:rsid w:val="00853BC2"/>
    <w:rsid w:val="00856270"/>
    <w:rsid w:val="00866013"/>
    <w:rsid w:val="00884614"/>
    <w:rsid w:val="00891D75"/>
    <w:rsid w:val="00896D61"/>
    <w:rsid w:val="00897DDD"/>
    <w:rsid w:val="008A1187"/>
    <w:rsid w:val="008A4969"/>
    <w:rsid w:val="008A6990"/>
    <w:rsid w:val="008B4544"/>
    <w:rsid w:val="008C0A53"/>
    <w:rsid w:val="008C3213"/>
    <w:rsid w:val="008D19C4"/>
    <w:rsid w:val="008D7496"/>
    <w:rsid w:val="008E1BCA"/>
    <w:rsid w:val="008E1C5B"/>
    <w:rsid w:val="00900274"/>
    <w:rsid w:val="00900448"/>
    <w:rsid w:val="00901226"/>
    <w:rsid w:val="009031EB"/>
    <w:rsid w:val="009075D2"/>
    <w:rsid w:val="009100C9"/>
    <w:rsid w:val="00914D5F"/>
    <w:rsid w:val="0091539D"/>
    <w:rsid w:val="00917C94"/>
    <w:rsid w:val="00922BDF"/>
    <w:rsid w:val="00930856"/>
    <w:rsid w:val="00933174"/>
    <w:rsid w:val="00937723"/>
    <w:rsid w:val="009452C3"/>
    <w:rsid w:val="00952931"/>
    <w:rsid w:val="00954476"/>
    <w:rsid w:val="00954F14"/>
    <w:rsid w:val="00955E43"/>
    <w:rsid w:val="009645DB"/>
    <w:rsid w:val="0096682F"/>
    <w:rsid w:val="00971848"/>
    <w:rsid w:val="009727CC"/>
    <w:rsid w:val="00981228"/>
    <w:rsid w:val="009838FE"/>
    <w:rsid w:val="00984A52"/>
    <w:rsid w:val="00984DFC"/>
    <w:rsid w:val="0098783A"/>
    <w:rsid w:val="00993B94"/>
    <w:rsid w:val="0099467B"/>
    <w:rsid w:val="00997F46"/>
    <w:rsid w:val="009A0847"/>
    <w:rsid w:val="009A1953"/>
    <w:rsid w:val="009A454D"/>
    <w:rsid w:val="009A6B99"/>
    <w:rsid w:val="009A6C92"/>
    <w:rsid w:val="009B5DB3"/>
    <w:rsid w:val="009B736E"/>
    <w:rsid w:val="009B7573"/>
    <w:rsid w:val="009C30C6"/>
    <w:rsid w:val="009C5954"/>
    <w:rsid w:val="009D1042"/>
    <w:rsid w:val="009E0801"/>
    <w:rsid w:val="009E6F9F"/>
    <w:rsid w:val="009F3D78"/>
    <w:rsid w:val="009F77AE"/>
    <w:rsid w:val="00A0008A"/>
    <w:rsid w:val="00A01FCF"/>
    <w:rsid w:val="00A03750"/>
    <w:rsid w:val="00A1059D"/>
    <w:rsid w:val="00A133B4"/>
    <w:rsid w:val="00A14EEB"/>
    <w:rsid w:val="00A15A8F"/>
    <w:rsid w:val="00A2468C"/>
    <w:rsid w:val="00A262ED"/>
    <w:rsid w:val="00A2644C"/>
    <w:rsid w:val="00A3123C"/>
    <w:rsid w:val="00A32123"/>
    <w:rsid w:val="00A32257"/>
    <w:rsid w:val="00A323A4"/>
    <w:rsid w:val="00A34977"/>
    <w:rsid w:val="00A34D38"/>
    <w:rsid w:val="00A400DB"/>
    <w:rsid w:val="00A40876"/>
    <w:rsid w:val="00A46A10"/>
    <w:rsid w:val="00A50184"/>
    <w:rsid w:val="00A548DF"/>
    <w:rsid w:val="00A568D5"/>
    <w:rsid w:val="00A6467C"/>
    <w:rsid w:val="00A677B4"/>
    <w:rsid w:val="00A70320"/>
    <w:rsid w:val="00A82AFF"/>
    <w:rsid w:val="00A86F1E"/>
    <w:rsid w:val="00A87588"/>
    <w:rsid w:val="00A909A5"/>
    <w:rsid w:val="00A91BB1"/>
    <w:rsid w:val="00A94B9C"/>
    <w:rsid w:val="00A97BA0"/>
    <w:rsid w:val="00AA1B58"/>
    <w:rsid w:val="00AA2BFD"/>
    <w:rsid w:val="00AA4F89"/>
    <w:rsid w:val="00AB13D0"/>
    <w:rsid w:val="00AC048E"/>
    <w:rsid w:val="00AC785D"/>
    <w:rsid w:val="00AD142C"/>
    <w:rsid w:val="00AD7EFA"/>
    <w:rsid w:val="00AE1CEE"/>
    <w:rsid w:val="00AE74E3"/>
    <w:rsid w:val="00AF3B98"/>
    <w:rsid w:val="00AF3F4D"/>
    <w:rsid w:val="00B0015A"/>
    <w:rsid w:val="00B072CA"/>
    <w:rsid w:val="00B10FF2"/>
    <w:rsid w:val="00B13343"/>
    <w:rsid w:val="00B150BF"/>
    <w:rsid w:val="00B15DCD"/>
    <w:rsid w:val="00B17C16"/>
    <w:rsid w:val="00B30916"/>
    <w:rsid w:val="00B32D4D"/>
    <w:rsid w:val="00B349F8"/>
    <w:rsid w:val="00B36C86"/>
    <w:rsid w:val="00B4119B"/>
    <w:rsid w:val="00B44555"/>
    <w:rsid w:val="00B50A93"/>
    <w:rsid w:val="00B538BA"/>
    <w:rsid w:val="00B564E7"/>
    <w:rsid w:val="00B566AB"/>
    <w:rsid w:val="00B57EE6"/>
    <w:rsid w:val="00B615E4"/>
    <w:rsid w:val="00B63852"/>
    <w:rsid w:val="00B72297"/>
    <w:rsid w:val="00B73F52"/>
    <w:rsid w:val="00B84EA0"/>
    <w:rsid w:val="00B85C4D"/>
    <w:rsid w:val="00B87246"/>
    <w:rsid w:val="00B904CD"/>
    <w:rsid w:val="00B954A0"/>
    <w:rsid w:val="00BA11D9"/>
    <w:rsid w:val="00BA634F"/>
    <w:rsid w:val="00BB17C8"/>
    <w:rsid w:val="00BB4BCF"/>
    <w:rsid w:val="00BB5035"/>
    <w:rsid w:val="00BB6A45"/>
    <w:rsid w:val="00BC1CE4"/>
    <w:rsid w:val="00BC5A0F"/>
    <w:rsid w:val="00BD062B"/>
    <w:rsid w:val="00BD7167"/>
    <w:rsid w:val="00BE01A8"/>
    <w:rsid w:val="00BE0A78"/>
    <w:rsid w:val="00BE16AD"/>
    <w:rsid w:val="00BF09E6"/>
    <w:rsid w:val="00BF198F"/>
    <w:rsid w:val="00BF1BDB"/>
    <w:rsid w:val="00BF201A"/>
    <w:rsid w:val="00BF3C38"/>
    <w:rsid w:val="00C0471E"/>
    <w:rsid w:val="00C06D44"/>
    <w:rsid w:val="00C07904"/>
    <w:rsid w:val="00C153B8"/>
    <w:rsid w:val="00C16E35"/>
    <w:rsid w:val="00C177C6"/>
    <w:rsid w:val="00C23090"/>
    <w:rsid w:val="00C246CB"/>
    <w:rsid w:val="00C25FCA"/>
    <w:rsid w:val="00C36476"/>
    <w:rsid w:val="00C40E42"/>
    <w:rsid w:val="00C42800"/>
    <w:rsid w:val="00C43F32"/>
    <w:rsid w:val="00C4450B"/>
    <w:rsid w:val="00C45F6B"/>
    <w:rsid w:val="00C53D76"/>
    <w:rsid w:val="00C5550B"/>
    <w:rsid w:val="00C55DC1"/>
    <w:rsid w:val="00C63001"/>
    <w:rsid w:val="00C655BB"/>
    <w:rsid w:val="00C7138F"/>
    <w:rsid w:val="00C74353"/>
    <w:rsid w:val="00C76A56"/>
    <w:rsid w:val="00C81D8F"/>
    <w:rsid w:val="00C85C8F"/>
    <w:rsid w:val="00C86E41"/>
    <w:rsid w:val="00C87B5A"/>
    <w:rsid w:val="00C9149D"/>
    <w:rsid w:val="00C943FB"/>
    <w:rsid w:val="00CA14A3"/>
    <w:rsid w:val="00CA294F"/>
    <w:rsid w:val="00CA4E56"/>
    <w:rsid w:val="00CA4F75"/>
    <w:rsid w:val="00CA61B2"/>
    <w:rsid w:val="00CB14C5"/>
    <w:rsid w:val="00CB5E0E"/>
    <w:rsid w:val="00CB690A"/>
    <w:rsid w:val="00CB710E"/>
    <w:rsid w:val="00CC07DC"/>
    <w:rsid w:val="00CC29B8"/>
    <w:rsid w:val="00CC450D"/>
    <w:rsid w:val="00CD031E"/>
    <w:rsid w:val="00CD11ED"/>
    <w:rsid w:val="00CD175C"/>
    <w:rsid w:val="00CD2AB8"/>
    <w:rsid w:val="00CD3A3F"/>
    <w:rsid w:val="00CD57B2"/>
    <w:rsid w:val="00CD6184"/>
    <w:rsid w:val="00CD78C1"/>
    <w:rsid w:val="00CF7D28"/>
    <w:rsid w:val="00D00531"/>
    <w:rsid w:val="00D030D0"/>
    <w:rsid w:val="00D04CFC"/>
    <w:rsid w:val="00D04E43"/>
    <w:rsid w:val="00D13DB6"/>
    <w:rsid w:val="00D21DDA"/>
    <w:rsid w:val="00D2605A"/>
    <w:rsid w:val="00D2797A"/>
    <w:rsid w:val="00D300C7"/>
    <w:rsid w:val="00D324FE"/>
    <w:rsid w:val="00D33758"/>
    <w:rsid w:val="00D43778"/>
    <w:rsid w:val="00D53C5F"/>
    <w:rsid w:val="00D53F4D"/>
    <w:rsid w:val="00D5636E"/>
    <w:rsid w:val="00D64458"/>
    <w:rsid w:val="00D66EDD"/>
    <w:rsid w:val="00D721FD"/>
    <w:rsid w:val="00D7265E"/>
    <w:rsid w:val="00D7353B"/>
    <w:rsid w:val="00D75C6A"/>
    <w:rsid w:val="00D7642F"/>
    <w:rsid w:val="00D80E40"/>
    <w:rsid w:val="00D81AF8"/>
    <w:rsid w:val="00D81C00"/>
    <w:rsid w:val="00D85C4D"/>
    <w:rsid w:val="00D93529"/>
    <w:rsid w:val="00D954C0"/>
    <w:rsid w:val="00D961F6"/>
    <w:rsid w:val="00D9708A"/>
    <w:rsid w:val="00D97D7A"/>
    <w:rsid w:val="00DA0193"/>
    <w:rsid w:val="00DA386F"/>
    <w:rsid w:val="00DA4147"/>
    <w:rsid w:val="00DB0A1B"/>
    <w:rsid w:val="00DB473D"/>
    <w:rsid w:val="00DB711F"/>
    <w:rsid w:val="00DC0241"/>
    <w:rsid w:val="00DC75D3"/>
    <w:rsid w:val="00DD1426"/>
    <w:rsid w:val="00DD4B8E"/>
    <w:rsid w:val="00DD53C1"/>
    <w:rsid w:val="00DD6EBA"/>
    <w:rsid w:val="00DE1A09"/>
    <w:rsid w:val="00DE668F"/>
    <w:rsid w:val="00DF02C6"/>
    <w:rsid w:val="00DF1D65"/>
    <w:rsid w:val="00DF42A7"/>
    <w:rsid w:val="00E024A8"/>
    <w:rsid w:val="00E027A0"/>
    <w:rsid w:val="00E036A2"/>
    <w:rsid w:val="00E03D1C"/>
    <w:rsid w:val="00E0675F"/>
    <w:rsid w:val="00E0697E"/>
    <w:rsid w:val="00E10D07"/>
    <w:rsid w:val="00E10F0B"/>
    <w:rsid w:val="00E12325"/>
    <w:rsid w:val="00E20BD6"/>
    <w:rsid w:val="00E213CA"/>
    <w:rsid w:val="00E21D75"/>
    <w:rsid w:val="00E27129"/>
    <w:rsid w:val="00E27155"/>
    <w:rsid w:val="00E31D36"/>
    <w:rsid w:val="00E3230D"/>
    <w:rsid w:val="00E41EE0"/>
    <w:rsid w:val="00E51378"/>
    <w:rsid w:val="00E5677B"/>
    <w:rsid w:val="00E6036E"/>
    <w:rsid w:val="00E7025A"/>
    <w:rsid w:val="00E74848"/>
    <w:rsid w:val="00E76548"/>
    <w:rsid w:val="00E76F2A"/>
    <w:rsid w:val="00E84FE6"/>
    <w:rsid w:val="00E858DA"/>
    <w:rsid w:val="00E8640B"/>
    <w:rsid w:val="00E9033B"/>
    <w:rsid w:val="00E92DDD"/>
    <w:rsid w:val="00E95A6A"/>
    <w:rsid w:val="00E971A1"/>
    <w:rsid w:val="00EA7706"/>
    <w:rsid w:val="00EB3BCC"/>
    <w:rsid w:val="00EC0A62"/>
    <w:rsid w:val="00EC1E77"/>
    <w:rsid w:val="00EC71D0"/>
    <w:rsid w:val="00EC7A9D"/>
    <w:rsid w:val="00ED270C"/>
    <w:rsid w:val="00ED555F"/>
    <w:rsid w:val="00EE19C6"/>
    <w:rsid w:val="00EF0395"/>
    <w:rsid w:val="00EF0726"/>
    <w:rsid w:val="00EF24F3"/>
    <w:rsid w:val="00EF5683"/>
    <w:rsid w:val="00F0250D"/>
    <w:rsid w:val="00F12B9D"/>
    <w:rsid w:val="00F1424E"/>
    <w:rsid w:val="00F147B9"/>
    <w:rsid w:val="00F15289"/>
    <w:rsid w:val="00F201A5"/>
    <w:rsid w:val="00F203B2"/>
    <w:rsid w:val="00F22063"/>
    <w:rsid w:val="00F2576E"/>
    <w:rsid w:val="00F25843"/>
    <w:rsid w:val="00F3189D"/>
    <w:rsid w:val="00F340B1"/>
    <w:rsid w:val="00F34671"/>
    <w:rsid w:val="00F37BB5"/>
    <w:rsid w:val="00F41213"/>
    <w:rsid w:val="00F430FA"/>
    <w:rsid w:val="00F44136"/>
    <w:rsid w:val="00F5104C"/>
    <w:rsid w:val="00F538B7"/>
    <w:rsid w:val="00F55DA8"/>
    <w:rsid w:val="00F61432"/>
    <w:rsid w:val="00F61A07"/>
    <w:rsid w:val="00F62849"/>
    <w:rsid w:val="00F63824"/>
    <w:rsid w:val="00F670E6"/>
    <w:rsid w:val="00F679DB"/>
    <w:rsid w:val="00F70DD9"/>
    <w:rsid w:val="00F72158"/>
    <w:rsid w:val="00F722C9"/>
    <w:rsid w:val="00F75B56"/>
    <w:rsid w:val="00F7622C"/>
    <w:rsid w:val="00F802F2"/>
    <w:rsid w:val="00F86172"/>
    <w:rsid w:val="00F956F4"/>
    <w:rsid w:val="00F95A99"/>
    <w:rsid w:val="00F9733E"/>
    <w:rsid w:val="00F97659"/>
    <w:rsid w:val="00FA3AB1"/>
    <w:rsid w:val="00FA4399"/>
    <w:rsid w:val="00FB3268"/>
    <w:rsid w:val="00FC0FE9"/>
    <w:rsid w:val="00FC207A"/>
    <w:rsid w:val="00FC30FE"/>
    <w:rsid w:val="00FC6CB1"/>
    <w:rsid w:val="00FC78DF"/>
    <w:rsid w:val="00FD459C"/>
    <w:rsid w:val="00FE23D1"/>
    <w:rsid w:val="00FE7109"/>
    <w:rsid w:val="00FF1881"/>
    <w:rsid w:val="00FF1F1E"/>
    <w:rsid w:val="00FF28C9"/>
    <w:rsid w:val="00FF4F4B"/>
    <w:rsid w:val="00FF5346"/>
    <w:rsid w:val="00FF604D"/>
    <w:rsid w:val="079F1599"/>
    <w:rsid w:val="14A6A790"/>
    <w:rsid w:val="211BF88E"/>
    <w:rsid w:val="29CBD17A"/>
    <w:rsid w:val="4C8669DA"/>
    <w:rsid w:val="59EF33DB"/>
    <w:rsid w:val="5CAAA14D"/>
    <w:rsid w:val="6F1B8D06"/>
    <w:rsid w:val="7091ED7B"/>
    <w:rsid w:val="7192D574"/>
    <w:rsid w:val="7C0F8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3E31"/>
  <w15:chartTrackingRefBased/>
  <w15:docId w15:val="{960B1798-BD23-4C5A-9F6B-87F5E1B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C76A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07904"/>
    <w:pPr>
      <w:ind w:left="720"/>
      <w:contextualSpacing/>
    </w:pPr>
  </w:style>
  <w:style w:type="paragraph" w:styleId="Revision">
    <w:name w:val="Revision"/>
    <w:hidden/>
    <w:uiPriority w:val="99"/>
    <w:semiHidden/>
    <w:rsid w:val="00D7265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84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0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0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038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F679D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F679DB"/>
    <w:rPr>
      <w:color w:val="2B579A"/>
      <w:shd w:val="clear" w:color="auto" w:fill="E1DFDD"/>
    </w:rPr>
  </w:style>
  <w:style w:type="table" w:styleId="PlainTable2">
    <w:name w:val="Plain Table 2"/>
    <w:basedOn w:val="TableNormal"/>
    <w:uiPriority w:val="42"/>
    <w:rsid w:val="002404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5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86F"/>
  </w:style>
  <w:style w:type="paragraph" w:styleId="Footer">
    <w:name w:val="footer"/>
    <w:basedOn w:val="Normal"/>
    <w:link w:val="FooterChar"/>
    <w:uiPriority w:val="99"/>
    <w:unhideWhenUsed/>
    <w:rsid w:val="002528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2365</Words>
  <Characters>13485</Characters>
  <Application>Microsoft Office Word</Application>
  <DocSecurity>0</DocSecurity>
  <Lines>112</Lines>
  <Paragraphs>31</Paragraphs>
  <ScaleCrop>false</ScaleCrop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Moore</dc:creator>
  <cp:keywords/>
  <dc:description/>
  <cp:lastModifiedBy>Harriet Moore</cp:lastModifiedBy>
  <cp:revision>2</cp:revision>
  <dcterms:created xsi:type="dcterms:W3CDTF">2023-07-11T12:49:00Z</dcterms:created>
  <dcterms:modified xsi:type="dcterms:W3CDTF">2023-07-11T12:49:00Z</dcterms:modified>
</cp:coreProperties>
</file>