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84"/>
        <w:gridCol w:w="5385"/>
        <w:gridCol w:w="3292"/>
      </w:tblGrid>
      <w:tr>
        <w:trPr>
          <w:trHeight w:val="992" w:hRule="atLeast"/>
          <w:cantSplit w:val="false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0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165100</wp:posOffset>
                  </wp:positionV>
                  <wp:extent cx="1104900" cy="431165"/>
                  <wp:effectExtent l="0" t="0" r="0" b="0"/>
                  <wp:wrapSquare wrapText="bothSides"/>
                  <wp:docPr id="0" name="Picture" descr="cid:image002.jpg@01CF6F7C.F93FF5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cid:image002.jpg@01CF6F7C.F93FF5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43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ATA DE REUNIÃO</w:t>
            </w:r>
          </w:p>
        </w:tc>
        <w:tc>
          <w:tcPr>
            <w:tcW w:w="3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Nº 25/2015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07"/>
        <w:gridCol w:w="1452"/>
        <w:gridCol w:w="1470"/>
        <w:gridCol w:w="1048"/>
        <w:gridCol w:w="846"/>
        <w:gridCol w:w="1135"/>
        <w:gridCol w:w="144"/>
        <w:gridCol w:w="283"/>
        <w:gridCol w:w="3577"/>
      </w:tblGrid>
      <w:tr>
        <w:trPr>
          <w:cantSplit w:val="false"/>
        </w:trPr>
        <w:tc>
          <w:tcPr>
            <w:tcW w:w="665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Assunto: Kanban - Abastecimento</w:t>
            </w:r>
          </w:p>
        </w:tc>
        <w:tc>
          <w:tcPr>
            <w:tcW w:w="400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Data: 04/11/15</w:t>
            </w:r>
          </w:p>
        </w:tc>
      </w:tr>
      <w:tr>
        <w:trPr>
          <w:cantSplit w:val="false"/>
        </w:trPr>
        <w:tc>
          <w:tcPr>
            <w:tcW w:w="665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Responsável: Cláudia</w:t>
            </w:r>
          </w:p>
        </w:tc>
        <w:tc>
          <w:tcPr>
            <w:tcW w:w="400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Duração: 1h30</w:t>
            </w:r>
          </w:p>
        </w:tc>
      </w:tr>
      <w:tr>
        <w:trPr>
          <w:cantSplit w:val="false"/>
        </w:trPr>
        <w:tc>
          <w:tcPr>
            <w:tcW w:w="665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Ata emitida por: Márcio Ramos</w:t>
            </w:r>
          </w:p>
        </w:tc>
        <w:tc>
          <w:tcPr>
            <w:tcW w:w="400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Local: Sala da Cláudia</w:t>
            </w:r>
          </w:p>
        </w:tc>
      </w:tr>
      <w:tr>
        <w:trPr>
          <w:cantSplit w:val="false"/>
        </w:trPr>
        <w:tc>
          <w:tcPr>
            <w:tcW w:w="10662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cantSplit w:val="false"/>
        </w:trPr>
        <w:tc>
          <w:tcPr>
            <w:tcW w:w="10662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Pauta: Analise do Processo de Abastecimento</w:t>
            </w:r>
          </w:p>
        </w:tc>
      </w:tr>
      <w:tr>
        <w:trPr>
          <w:cantSplit w:val="false"/>
        </w:trPr>
        <w:tc>
          <w:tcPr>
            <w:tcW w:w="10662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232" w:hRule="atLeast"/>
          <w:cantSplit w:val="false"/>
        </w:trPr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Participantes:</w:t>
            </w:r>
          </w:p>
        </w:tc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Carol</w:t>
            </w:r>
          </w:p>
        </w:tc>
        <w:tc>
          <w:tcPr>
            <w:tcW w:w="18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Wilson</w:t>
            </w:r>
          </w:p>
        </w:tc>
        <w:tc>
          <w:tcPr>
            <w:tcW w:w="15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Cláudia</w:t>
            </w:r>
          </w:p>
        </w:tc>
        <w:tc>
          <w:tcPr>
            <w:tcW w:w="3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Márcio</w:t>
            </w:r>
          </w:p>
        </w:tc>
      </w:tr>
      <w:tr>
        <w:trPr>
          <w:cantSplit w:val="false"/>
        </w:trPr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5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62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RESUMO TRATADO</w:t>
            </w:r>
          </w:p>
        </w:tc>
      </w:tr>
      <w:tr>
        <w:trPr>
          <w:trHeight w:val="6280" w:hRule="atLeast"/>
          <w:cantSplit w:val="false"/>
        </w:trPr>
        <w:tc>
          <w:tcPr>
            <w:tcW w:w="10662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>
                <w:rFonts w:cs="Calibri" w:ascii="Calibri" w:hAnsi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Discussão sobre o processo de abastecimento na segunda fase Kanban.</w:t>
            </w:r>
          </w:p>
          <w:p>
            <w:pPr>
              <w:pStyle w:val="Normal"/>
              <w:spacing w:before="0" w:after="0"/>
              <w:jc w:val="both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</w:r>
          </w:p>
          <w:p>
            <w:pPr>
              <w:pStyle w:val="Normal"/>
              <w:spacing w:before="0" w:after="0"/>
              <w:jc w:val="both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Definição:</w:t>
            </w:r>
          </w:p>
          <w:p>
            <w:pPr>
              <w:pStyle w:val="Normal"/>
              <w:spacing w:before="0" w:after="0"/>
              <w:jc w:val="both"/>
              <w:rPr>
                <w:rFonts w:cs="Calibri" w:ascii="Calibri" w:hAnsi="Calibri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1 - Não</w:t>
            </w:r>
            <w:r>
              <w:rPr>
                <w:rFonts w:cs="Calibri" w:ascii="Calibri" w:hAnsi="Calibri"/>
                <w:b/>
              </w:rPr>
              <w:t xml:space="preserve"> </w:t>
            </w:r>
            <w:r>
              <w:rPr>
                <w:rFonts w:cs="Calibri" w:ascii="Calibri" w:hAnsi="Calibri"/>
                <w:b w:val="false"/>
                <w:bCs w:val="false"/>
              </w:rPr>
              <w:t>será feito alterações em relação a ler etiquetas de Kanban e ler etiquetas de embalagem para validação do que foi abastecido ou pendente.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>
                <w:rFonts w:cs="Calibri" w:ascii="Calibri" w:hAnsi="Calibri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2 – Duas melhorias foram pensadas em relação a melhorar as questões do abastecimento.</w:t>
            </w:r>
          </w:p>
          <w:p>
            <w:pPr>
              <w:pStyle w:val="Normal"/>
              <w:spacing w:before="0" w:after="0"/>
              <w:jc w:val="both"/>
              <w:rPr>
                <w:rFonts w:cs="Calibri" w:ascii="Calibri" w:hAnsi="Calibri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</w:t>
            </w:r>
            <w:bookmarkStart w:id="0" w:name="__UnoMark__6050_564791841"/>
            <w:bookmarkEnd w:id="0"/>
            <w:r>
              <w:rPr>
                <w:rFonts w:cs="Calibri" w:ascii="Calibri" w:hAnsi="Calibri"/>
                <w:b w:val="false"/>
                <w:bCs w:val="false"/>
              </w:rPr>
              <w:t>A – Remover os códigos de embalagens do coletor, para não ser possível a digitação.</w:t>
            </w:r>
          </w:p>
          <w:p>
            <w:pPr>
              <w:pStyle w:val="Normal"/>
              <w:spacing w:before="0" w:after="0"/>
              <w:jc w:val="both"/>
              <w:rPr>
                <w:rFonts w:cs="Calibri" w:ascii="Calibri" w:hAnsi="Calibri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</w:t>
            </w:r>
            <w:r>
              <w:rPr>
                <w:rFonts w:cs="Calibri" w:ascii="Calibri" w:hAnsi="Calibri"/>
                <w:b w:val="false"/>
                <w:bCs w:val="false"/>
              </w:rPr>
              <w:t xml:space="preserve">B – Elaboração da descrição (DT), visando a criação da funcionalidade do abastecimento pendente. </w:t>
            </w:r>
          </w:p>
          <w:p>
            <w:pPr>
              <w:pStyle w:val="Normal"/>
              <w:spacing w:before="0" w:after="0"/>
              <w:jc w:val="both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cantSplit w:val="false"/>
        </w:trPr>
        <w:tc>
          <w:tcPr>
            <w:tcW w:w="10662" w:type="dxa"/>
            <w:gridSpan w:val="9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1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cantSplit w:val="false"/>
        </w:trPr>
        <w:tc>
          <w:tcPr>
            <w:tcW w:w="10662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PENDÊNCIA PARA PRÓXIMA REUNIÃO</w:t>
            </w:r>
          </w:p>
        </w:tc>
      </w:tr>
      <w:tr>
        <w:trPr>
          <w:cantSplit w:val="false"/>
        </w:trPr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Nº</w:t>
            </w:r>
          </w:p>
        </w:tc>
        <w:tc>
          <w:tcPr>
            <w:tcW w:w="397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Ações ou Pendências</w:t>
            </w:r>
          </w:p>
        </w:tc>
        <w:tc>
          <w:tcPr>
            <w:tcW w:w="2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Áreas Envolvidas</w:t>
            </w:r>
          </w:p>
        </w:tc>
        <w:tc>
          <w:tcPr>
            <w:tcW w:w="38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  <w:b/>
              </w:rPr>
            </w:pPr>
            <w:r>
              <w:rPr>
                <w:rFonts w:cs="Calibri" w:ascii="Calibri" w:hAnsi="Calibri"/>
                <w:b/>
              </w:rPr>
              <w:t>Até</w:t>
            </w:r>
          </w:p>
        </w:tc>
      </w:tr>
      <w:tr>
        <w:trPr>
          <w:cantSplit w:val="false"/>
        </w:trPr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01</w:t>
            </w:r>
          </w:p>
        </w:tc>
        <w:tc>
          <w:tcPr>
            <w:tcW w:w="397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O Mário irá c</w:t>
            </w:r>
            <w:r>
              <w:rPr>
                <w:rFonts w:cs="Calibri" w:ascii="Calibri" w:hAnsi="Calibri"/>
              </w:rPr>
              <w:t>riar a DT com a definição das modificações discutidas. Item 2.</w:t>
            </w:r>
          </w:p>
        </w:tc>
        <w:tc>
          <w:tcPr>
            <w:tcW w:w="2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</w:rPr>
            </w:pPr>
            <w:bookmarkStart w:id="1" w:name="__DdeLink__6049_564791841"/>
            <w:bookmarkEnd w:id="1"/>
            <w:r>
              <w:rPr>
                <w:rFonts w:cs="Calibri" w:ascii="Calibri" w:hAnsi="Calibri"/>
              </w:rPr>
              <w:t>TI/GO/LI</w:t>
            </w:r>
          </w:p>
        </w:tc>
        <w:tc>
          <w:tcPr>
            <w:tcW w:w="38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09/11/2015</w:t>
            </w:r>
          </w:p>
        </w:tc>
      </w:tr>
      <w:tr>
        <w:trPr>
          <w:cantSplit w:val="false"/>
        </w:trPr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02</w:t>
            </w:r>
          </w:p>
        </w:tc>
        <w:tc>
          <w:tcPr>
            <w:tcW w:w="397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Reunião sobre Pedido por  Estabelecimento.</w:t>
            </w:r>
          </w:p>
        </w:tc>
        <w:tc>
          <w:tcPr>
            <w:tcW w:w="2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TI/GO/LI</w:t>
            </w:r>
          </w:p>
        </w:tc>
        <w:tc>
          <w:tcPr>
            <w:tcW w:w="38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cs="Calibri" w:ascii="Calibri" w:hAnsi="Calibri"/>
              </w:rPr>
            </w:pPr>
            <w:r>
              <w:rPr>
                <w:rFonts w:cs="Calibri" w:ascii="Calibri" w:hAnsi="Calibri"/>
              </w:rPr>
              <w:t>Sem Agenda.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81850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Cambria"/>
      <w:color w:val="00000A"/>
      <w:sz w:val="24"/>
      <w:szCs w:val="24"/>
      <w:lang w:val="pt-BR" w:eastAsia="en-US" w:bidi="ar-SA"/>
    </w:rPr>
  </w:style>
  <w:style w:type="paragraph" w:styleId="Ttulo1">
    <w:name w:val="Título 1"/>
    <w:uiPriority w:val="9"/>
    <w:qFormat/>
    <w:link w:val="Ttulo1Char"/>
    <w:rsid w:val="00981850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uiPriority w:val="9"/>
    <w:link w:val="Ttulo1"/>
    <w:rsid w:val="00981850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TextodebaloChar" w:customStyle="1">
    <w:name w:val="Texto de balão Char"/>
    <w:uiPriority w:val="99"/>
    <w:semiHidden/>
    <w:link w:val="Textodebalo"/>
    <w:rsid w:val="00f703a1"/>
    <w:basedOn w:val="DefaultParagraphFont"/>
    <w:rPr>
      <w:rFonts w:ascii="Tahoma" w:hAnsi="Tahoma" w:cs="Tahoma"/>
      <w:sz w:val="16"/>
      <w:szCs w:val="16"/>
    </w:rPr>
  </w:style>
  <w:style w:type="character" w:styleId="CabealhoChar" w:customStyle="1">
    <w:name w:val="Cabeçalho Char"/>
    <w:uiPriority w:val="99"/>
    <w:link w:val="Cabealho"/>
    <w:rsid w:val="0052109e"/>
    <w:basedOn w:val="DefaultParagraphFont"/>
    <w:rPr/>
  </w:style>
  <w:style w:type="character" w:styleId="RodapChar" w:customStyle="1">
    <w:name w:val="Rodapé Char"/>
    <w:uiPriority w:val="99"/>
    <w:link w:val="Rodap"/>
    <w:rsid w:val="0052109e"/>
    <w:basedOn w:val="DefaultParagraphFont"/>
    <w:rPr/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81850"/>
    <w:basedOn w:val="Normal"/>
    <w:pPr>
      <w:spacing w:before="0" w:after="200"/>
      <w:ind w:left="720" w:right="0" w:hanging="0"/>
      <w:contextualSpacing/>
    </w:pPr>
    <w:rPr/>
  </w:style>
  <w:style w:type="paragraph" w:styleId="Ttulodosumrio">
    <w:name w:val="Título do sumário"/>
    <w:uiPriority w:val="39"/>
    <w:qFormat/>
    <w:unhideWhenUsed/>
    <w:rsid w:val="00981850"/>
    <w:basedOn w:val="Ttulo1"/>
    <w:next w:val="Normal"/>
    <w:pPr/>
    <w:rPr/>
  </w:style>
  <w:style w:type="paragraph" w:styleId="BalloonText">
    <w:name w:val="Balloon Text"/>
    <w:uiPriority w:val="99"/>
    <w:semiHidden/>
    <w:unhideWhenUsed/>
    <w:link w:val="TextodebaloChar"/>
    <w:rsid w:val="00f703a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Cabeçalho"/>
    <w:uiPriority w:val="99"/>
    <w:unhideWhenUsed/>
    <w:link w:val="CabealhoChar"/>
    <w:rsid w:val="0052109e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Rodapé"/>
    <w:uiPriority w:val="99"/>
    <w:unhideWhenUsed/>
    <w:link w:val="RodapChar"/>
    <w:rsid w:val="0052109e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703a1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2015-10-30T11:40:00Z</dcterms:created>
  <dc:creator>Ana Paula Carvalho de Melo</dc:creator>
  <dc:language>pt-BR</dc:language>
  <cp:lastModifiedBy>Ana Paula Carvalho de Melo</cp:lastModifiedBy>
  <cp:lastPrinted>2015-10-30T13:48:00Z</cp:lastPrinted>
  <dcterms:modified xsi:type="dcterms:W3CDTF">2015-11-03T10:46:00Z</dcterms:modified>
  <cp:revision>10</cp:revision>
</cp:coreProperties>
</file>