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544"/>
        <w:gridCol w:w="3055"/>
        <w:gridCol w:w="2058"/>
        <w:gridCol w:w="1833"/>
      </w:tblGrid>
      <w:tr>
        <w:trPr>
          <w:trHeight w:val="600" w:hRule="atLeast"/>
          <w:cantSplit w:val="false"/>
        </w:trPr>
        <w:tc>
          <w:tcPr>
            <w:tcW w:w="1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CÓDIGO DA DT</w:t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511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NOME DA DT</w:t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Melhoria no processo de Abastecimento</w:t>
            </w:r>
          </w:p>
        </w:tc>
        <w:tc>
          <w:tcPr>
            <w:tcW w:w="18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DATA:</w:t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09/11/2015</w:t>
            </w:r>
          </w:p>
        </w:tc>
      </w:tr>
      <w:tr>
        <w:trPr>
          <w:cantSplit w:val="false"/>
        </w:trPr>
        <w:tc>
          <w:tcPr>
            <w:tcW w:w="459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ÁREA/USUÁRIO SOLICITANTE</w:t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Cláudia</w:t>
            </w:r>
          </w:p>
        </w:tc>
        <w:tc>
          <w:tcPr>
            <w:tcW w:w="389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CARGO DO SOLICITANTE</w:t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Gere</w:t>
            </w:r>
            <w:r>
              <w:rPr>
                <w:b/>
                <w:color w:val="1F4E79"/>
                <w:sz w:val="20"/>
                <w:szCs w:val="20"/>
              </w:rPr>
              <w:t>nte</w:t>
            </w:r>
            <w:r>
              <w:rPr>
                <w:b/>
                <w:color w:val="1F4E79"/>
                <w:sz w:val="20"/>
                <w:szCs w:val="20"/>
              </w:rPr>
              <w:t xml:space="preserve"> Operacional </w:t>
            </w:r>
          </w:p>
        </w:tc>
      </w:tr>
      <w:tr>
        <w:trPr>
          <w:cantSplit w:val="false"/>
        </w:trPr>
        <w:tc>
          <w:tcPr>
            <w:tcW w:w="459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SISTEMA</w:t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Portal</w:t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389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USUÁRIO CHAVE</w:t>
            </w:r>
          </w:p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Cláudia</w:t>
            </w:r>
          </w:p>
        </w:tc>
      </w:tr>
    </w:tbl>
    <w:p>
      <w:pPr>
        <w:pStyle w:val="ListParagraph"/>
        <w:rPr>
          <w:b/>
          <w:color w:val="1F4E79"/>
        </w:rPr>
      </w:pPr>
      <w:r>
        <w:rPr>
          <w:b/>
          <w:color w:val="1F4E79"/>
        </w:rPr>
      </w:r>
    </w:p>
    <w:tbl>
      <w:tblPr>
        <w:jc w:val="left"/>
        <w:tblInd w:w="0" w:type="dxa"/>
        <w:tblBorders>
          <w:top w:val="nil"/>
          <w:left w:val="single" w:sz="12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nil"/>
              <w:left w:val="single" w:sz="12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OBJETIVO/NECESSIDADE</w:t>
            </w:r>
          </w:p>
        </w:tc>
      </w:tr>
    </w:tbl>
    <w:p>
      <w:pPr>
        <w:pStyle w:val="Normal"/>
        <w:rPr>
          <w:b/>
          <w:color w:val="1F4E79"/>
        </w:rPr>
      </w:pPr>
      <w:r>
        <w:rPr>
          <w:b/>
          <w:color w:val="1F4E79"/>
        </w:rPr>
      </w:r>
    </w:p>
    <w:p>
      <w:pPr>
        <w:pStyle w:val="ListParagraph"/>
        <w:numPr>
          <w:ilvl w:val="0"/>
          <w:numId w:val="2"/>
        </w:numPr>
        <w:rPr>
          <w:b/>
          <w:color w:val="1F4E79"/>
        </w:rPr>
      </w:pPr>
      <w:r>
        <w:rPr>
          <w:b/>
          <w:color w:val="1F4E79"/>
        </w:rPr>
        <w:t xml:space="preserve">Criar a funcionalidade de abastecer embalagens </w:t>
      </w:r>
      <w:r>
        <w:rPr>
          <w:b/>
          <w:color w:val="1F4E79"/>
        </w:rPr>
        <w:t>pendentes.</w:t>
      </w:r>
    </w:p>
    <w:p>
      <w:pPr>
        <w:pStyle w:val="ListParagraph"/>
        <w:numPr>
          <w:ilvl w:val="0"/>
          <w:numId w:val="2"/>
        </w:numPr>
        <w:rPr>
          <w:b/>
          <w:color w:val="1F4E79"/>
        </w:rPr>
      </w:pPr>
      <w:r>
        <w:rPr>
          <w:b/>
          <w:color w:val="1F4E79"/>
        </w:rPr>
        <w:t>Remover os dígitos de embalagem da lista de itens para abastecer.</w:t>
      </w:r>
    </w:p>
    <w:tbl>
      <w:tblPr>
        <w:jc w:val="left"/>
        <w:tblInd w:w="0" w:type="dxa"/>
        <w:tblBorders>
          <w:top w:val="nil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8489"/>
      </w:tblGrid>
      <w:tr>
        <w:trPr>
          <w:cantSplit w:val="false"/>
        </w:trPr>
        <w:tc>
          <w:tcPr>
            <w:tcW w:w="8489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JUSTIFICATIVA</w:t>
            </w:r>
          </w:p>
        </w:tc>
      </w:tr>
    </w:tbl>
    <w:p>
      <w:pPr>
        <w:pStyle w:val="Normal"/>
        <w:rPr>
          <w:b/>
          <w:color w:val="1F4E79"/>
        </w:rPr>
      </w:pPr>
      <w:r>
        <w:rPr>
          <w:b/>
          <w:color w:val="1F4E79"/>
        </w:rPr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 xml:space="preserve">Melhoria no processo </w:t>
      </w:r>
      <w:r>
        <w:rPr>
          <w:b/>
          <w:color w:val="1F4E79"/>
        </w:rPr>
        <w:t>de abastecimento</w:t>
      </w:r>
      <w:r>
        <w:rPr>
          <w:b/>
          <w:color w:val="1F4E79"/>
        </w:rPr>
        <w:t>.</w:t>
      </w:r>
    </w:p>
    <w:tbl>
      <w:tblPr>
        <w:jc w:val="left"/>
        <w:tblInd w:w="0" w:type="dxa"/>
        <w:tblBorders>
          <w:top w:val="nil"/>
          <w:left w:val="single" w:sz="12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nil"/>
              <w:left w:val="single" w:sz="12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DETALHAMENTO</w:t>
            </w:r>
          </w:p>
        </w:tc>
      </w:tr>
    </w:tbl>
    <w:p>
      <w:pPr>
        <w:pStyle w:val="Normal"/>
        <w:rPr>
          <w:b/>
          <w:color w:val="1F4E79"/>
        </w:rPr>
      </w:pPr>
      <w:r>
        <w:rPr>
          <w:b/>
          <w:color w:val="1F4E79"/>
        </w:rPr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>Du</w:t>
      </w:r>
      <w:r>
        <w:rPr>
          <w:b/>
          <w:color w:val="1F4E79"/>
        </w:rPr>
        <w:t>rante o processo de bastecimento, não temos a opção de pular um centro de custo para abastecer o próximo, o sistema deve ter a opção de avançar o abastecimento para o próximo centro de custo, mesmo que não tenha completado a leitura de todas as embalagens, o sistema também deve ter a opção onde no final do abastecimento da rota, mostrar todos os centros de custo que ainda tem pendencia de abastecimento, o fluxo de seguir da seguinte forma:</w:t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>1 – Após os usuário selecionar a rota de abastecimento e inicia o abastecimento,  o sistema deve mostrar a opção de pular centro de custo, ao apertar este botão o sistema deve ir para o próximo centro de custo que necessidade ser abastecido.</w:t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>2 – Ao Finalizar a rota de abastecimento selecionada, o sistema deve mostrar todos os centros de custo que possuem embalagens pendentes de abastecimento.</w:t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>3 – O usuário deve ter a opção de selecionar o centro de custo desta lista de pendencia, para finalizar o abastecimento seguindo o processo existente.</w:t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 xml:space="preserve">4 – Deve ter a opção de finalizar a rota, conforme </w:t>
      </w:r>
      <w:r>
        <w:rPr>
          <w:b/>
          <w:color w:val="1F4E79"/>
        </w:rPr>
        <w:t>o processo atual, lendo novamente o código do centro de custo, no entanto,</w:t>
      </w:r>
      <w:r>
        <w:rPr>
          <w:b/>
          <w:color w:val="1F4E79"/>
        </w:rPr>
        <w:t xml:space="preserve"> </w:t>
      </w:r>
      <w:r>
        <w:rPr>
          <w:b/>
          <w:color w:val="1F4E79"/>
        </w:rPr>
        <w:t xml:space="preserve">o sistema deve perguntar se o usuário deseja finalizar a rota </w:t>
      </w:r>
      <w:r>
        <w:rPr>
          <w:b/>
          <w:color w:val="1F4E79"/>
        </w:rPr>
        <w:t xml:space="preserve">com pendencias, </w:t>
      </w:r>
      <w:r>
        <w:rPr>
          <w:b/>
          <w:color w:val="1F4E79"/>
        </w:rPr>
        <w:t>se sim, o sistema finaliza a rota, se não, ficará na tela de centro de custo pendente.</w:t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>5 – Após finalizar a rota e sincronizar o coletor, as embalagens pendentes devem ficam no Portal web, onde haverá a opção de marcar a embalagem com abastecido.</w:t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>6 – No sistema web, deve haver um modulo onde poderemos pesquisar por cliente e sequencialmente por rota, o resultado dessa busca serão os centros de custo com suas embalagens pendentes, estes devem ter a opção de marcar para confirmar o abastecimento.</w:t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>O sistema deve identificar os abastecimento que foram feitos via coletor e via web, para possíveis relatórios.</w:t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 xml:space="preserve">No coletor, devem ser removidos da listagem de itens para o abastecimento, a informação do código das embalagens, para impedir que o usuário digite o código ao invés de ler com o coletor.     </w:t>
      </w:r>
      <w:r>
        <w:rPr>
          <w:b/>
          <w:color w:val="1F4E79"/>
        </w:rPr>
        <w:t xml:space="preserve">   </w:t>
      </w:r>
    </w:p>
    <w:p>
      <w:pPr>
        <w:pStyle w:val="ListParagraph"/>
        <w:rPr>
          <w:b/>
          <w:color w:val="1F4E79"/>
        </w:rPr>
      </w:pPr>
      <w:r>
        <w:rPr>
          <w:b/>
          <w:color w:val="1F4E79"/>
        </w:rPr>
        <w:t xml:space="preserve"> </w:t>
      </w:r>
    </w:p>
    <w:tbl>
      <w:tblPr>
        <w:jc w:val="left"/>
        <w:tblInd w:w="0" w:type="dxa"/>
        <w:tblBorders>
          <w:top w:val="nil"/>
          <w:left w:val="single" w:sz="12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nil"/>
              <w:left w:val="single" w:sz="12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ÁREAS/PROCESSOS IMPACTADOS</w:t>
            </w:r>
          </w:p>
        </w:tc>
      </w:tr>
    </w:tbl>
    <w:p>
      <w:pPr>
        <w:pStyle w:val="ListParagraph"/>
        <w:rPr>
          <w:b/>
          <w:color w:val="1F4E79"/>
        </w:rPr>
      </w:pPr>
      <w:r>
        <w:rPr>
          <w:b/>
          <w:color w:val="1F4E79"/>
        </w:rPr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 xml:space="preserve">Aéreas: </w:t>
      </w:r>
      <w:r>
        <w:rPr>
          <w:b/>
          <w:color w:val="1F4E79"/>
        </w:rPr>
        <w:t xml:space="preserve">Logística </w:t>
      </w:r>
      <w:r>
        <w:rPr>
          <w:b/>
          <w:color w:val="1F4E79"/>
        </w:rPr>
        <w:t xml:space="preserve">| </w:t>
      </w:r>
      <w:r>
        <w:rPr>
          <w:b/>
          <w:color w:val="1F4E79"/>
        </w:rPr>
        <w:t>TI</w:t>
      </w:r>
    </w:p>
    <w:p>
      <w:pPr>
        <w:pStyle w:val="ListParagraph"/>
        <w:numPr>
          <w:ilvl w:val="0"/>
          <w:numId w:val="1"/>
        </w:numPr>
        <w:rPr>
          <w:b/>
          <w:color w:val="1F4E79"/>
        </w:rPr>
      </w:pPr>
      <w:r>
        <w:rPr>
          <w:b/>
          <w:color w:val="1F4E79"/>
        </w:rPr>
        <w:t xml:space="preserve">Processo: </w:t>
      </w:r>
      <w:r>
        <w:rPr>
          <w:b/>
          <w:color w:val="1F4E79"/>
        </w:rPr>
        <w:t>Abastecimento</w:t>
      </w:r>
    </w:p>
    <w:p>
      <w:pPr>
        <w:pStyle w:val="ListParagraph"/>
        <w:rPr>
          <w:b/>
          <w:color w:val="1F4E79"/>
        </w:rPr>
      </w:pPr>
      <w:r>
        <w:rPr>
          <w:b/>
          <w:color w:val="1F4E79"/>
        </w:rPr>
      </w:r>
    </w:p>
    <w:tbl>
      <w:tblPr>
        <w:jc w:val="left"/>
        <w:tblInd w:w="0" w:type="dxa"/>
        <w:tblBorders>
          <w:top w:val="nil"/>
          <w:left w:val="single" w:sz="12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nil"/>
              <w:left w:val="single" w:sz="12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APROVAÇÕES</w:t>
            </w:r>
          </w:p>
        </w:tc>
      </w:tr>
    </w:tbl>
    <w:p>
      <w:pPr>
        <w:pStyle w:val="Normal"/>
        <w:rPr>
          <w:b/>
          <w:color w:val="1F4E79"/>
        </w:rPr>
      </w:pPr>
      <w:r>
        <w:rPr>
          <w:b/>
          <w:color w:val="1F4E79"/>
        </w:rPr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45"/>
        <w:gridCol w:w="2132"/>
        <w:gridCol w:w="2133"/>
        <w:gridCol w:w="2082"/>
      </w:tblGrid>
      <w:tr>
        <w:trPr>
          <w:cantSplit w:val="false"/>
        </w:trPr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SOLICITANTE</w:t>
            </w:r>
          </w:p>
        </w:tc>
        <w:tc>
          <w:tcPr>
            <w:tcW w:w="21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GER.OPER.</w:t>
            </w:r>
          </w:p>
        </w:tc>
        <w:tc>
          <w:tcPr>
            <w:tcW w:w="21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USUÁRIO CHAVE</w:t>
            </w:r>
          </w:p>
        </w:tc>
        <w:tc>
          <w:tcPr>
            <w:tcW w:w="20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GER.TI</w:t>
            </w:r>
          </w:p>
        </w:tc>
      </w:tr>
      <w:tr>
        <w:trPr>
          <w:cantSplit w:val="false"/>
        </w:trPr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132" w:type="dxa"/>
            <w:tcBorders>
              <w:top w:val="single" w:sz="12" w:space="0" w:color="00000A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133" w:type="dxa"/>
            <w:tcBorders>
              <w:top w:val="single" w:sz="12" w:space="0" w:color="00000A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082" w:type="dxa"/>
            <w:tcBorders>
              <w:top w:val="single" w:sz="12" w:space="0" w:color="00000A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2145" w:type="dxa"/>
            <w:tcBorders>
              <w:top w:val="nil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132" w:type="dxa"/>
            <w:tcBorders>
              <w:top w:val="nil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133" w:type="dxa"/>
            <w:tcBorders>
              <w:top w:val="nil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082" w:type="dxa"/>
            <w:tcBorders>
              <w:top w:val="nil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2145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132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133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082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132" w:type="dxa"/>
            <w:tcBorders>
              <w:top w:val="single" w:sz="12" w:space="0" w:color="00000A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133" w:type="dxa"/>
            <w:tcBorders>
              <w:top w:val="single" w:sz="12" w:space="0" w:color="00000A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  <w:tc>
          <w:tcPr>
            <w:tcW w:w="2082" w:type="dxa"/>
            <w:tcBorders>
              <w:top w:val="single" w:sz="12" w:space="0" w:color="00000A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2145" w:type="dxa"/>
            <w:tcBorders>
              <w:top w:val="nil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_____/______/______</w:t>
            </w:r>
          </w:p>
        </w:tc>
        <w:tc>
          <w:tcPr>
            <w:tcW w:w="2132" w:type="dxa"/>
            <w:tcBorders>
              <w:top w:val="nil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_____/______/______</w:t>
            </w:r>
          </w:p>
        </w:tc>
        <w:tc>
          <w:tcPr>
            <w:tcW w:w="2133" w:type="dxa"/>
            <w:tcBorders>
              <w:top w:val="nil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_____/______/______</w:t>
            </w:r>
          </w:p>
        </w:tc>
        <w:tc>
          <w:tcPr>
            <w:tcW w:w="2082" w:type="dxa"/>
            <w:tcBorders>
              <w:top w:val="nil"/>
              <w:left w:val="single" w:sz="12" w:space="0" w:color="00000A"/>
              <w:bottom w:val="nil"/>
              <w:insideH w:val="nil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color w:val="1F4E79"/>
                <w:sz w:val="20"/>
                <w:szCs w:val="20"/>
              </w:rPr>
            </w:pPr>
            <w:r>
              <w:rPr>
                <w:b/>
                <w:color w:val="1F4E79"/>
                <w:sz w:val="20"/>
                <w:szCs w:val="20"/>
              </w:rPr>
              <w:t>_____/______/______</w:t>
            </w:r>
          </w:p>
        </w:tc>
      </w:tr>
      <w:tr>
        <w:trPr>
          <w:cantSplit w:val="false"/>
        </w:trPr>
        <w:tc>
          <w:tcPr>
            <w:tcW w:w="2145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32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33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82" w:type="dxa"/>
            <w:tcBorders>
              <w:top w:val="nil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center"/>
      <w:rPr/>
    </w:pPr>
    <w:bookmarkStart w:id="0" w:name="_GoBack"/>
    <w:bookmarkEnd w:id="0"/>
    <w:r>
      <w:rPr/>
      <w:t>RG.TI.03.001 – DEMANDA DE TI – Rev.01 – 24/08/15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>
        <w:lang w:eastAsia="pt-BR"/>
      </w:rPr>
    </w:pPr>
    <w:r>
      <w:rPr>
        <w:lang w:eastAsia="pt-BR"/>
      </w:rPr>
      <w:t xml:space="preserve">                                                                                                                                      </w:t>
    </w:r>
    <w:r>
      <w:rPr>
        <w:lang w:eastAsia="pt-BR"/>
      </w:rPr>
      <w:drawing>
        <wp:inline distT="0" distB="0" distL="0" distR="0">
          <wp:extent cx="1152525" cy="571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0c6808"/>
    <w:basedOn w:val="DefaultParagraphFont"/>
    <w:rPr/>
  </w:style>
  <w:style w:type="character" w:styleId="RodapChar" w:customStyle="1">
    <w:name w:val="Rodapé Char"/>
    <w:uiPriority w:val="99"/>
    <w:link w:val="Rodap"/>
    <w:rsid w:val="000c6808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982d42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iPriority w:val="99"/>
    <w:unhideWhenUsed/>
    <w:link w:val="CabealhoChar"/>
    <w:rsid w:val="000c6808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0c6808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baloChar"/>
    <w:rsid w:val="00982d42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uiPriority w:val="34"/>
    <w:qFormat/>
    <w:rsid w:val="00de7cc9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a4370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2015-09-02T22:05:00Z</dcterms:created>
  <dc:creator>Mario Leite Junior</dc:creator>
  <dc:language>pt-BR</dc:language>
  <cp:lastModifiedBy>Ana Paula Carvalho de Melo</cp:lastModifiedBy>
  <cp:lastPrinted>2015-09-03T12:35:00Z</cp:lastPrinted>
  <dcterms:modified xsi:type="dcterms:W3CDTF">2015-09-08T13:34:00Z</dcterms:modified>
  <cp:revision>10</cp:revision>
</cp:coreProperties>
</file>