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9E6" w:rsidRDefault="006D59E6" w:rsidP="006D59E6">
      <w:pPr>
        <w:tabs>
          <w:tab w:val="left" w:pos="1282"/>
        </w:tabs>
        <w:spacing w:before="240" w:after="240"/>
        <w:ind w:right="-1"/>
      </w:pPr>
      <w:r>
        <w:rPr>
          <w:rFonts w:ascii="Arial" w:eastAsia="Arial" w:hAnsi="Arial" w:cs="Arial"/>
          <w:b/>
          <w:sz w:val="21"/>
          <w:szCs w:val="21"/>
        </w:rPr>
        <w:t>E.3.2 QUADRO RESUMO DO SISTEMA DE HIDRANTES E MANGOTINHOS PARACOMBATE A INCÊNDIO</w:t>
      </w:r>
    </w:p>
    <w:tbl>
      <w:tblPr>
        <w:tblW w:w="9141" w:type="dxa"/>
        <w:jc w:val="center"/>
        <w:tblLook w:val="0400" w:firstRow="0" w:lastRow="0" w:firstColumn="0" w:lastColumn="0" w:noHBand="0" w:noVBand="1"/>
      </w:tblPr>
      <w:tblGrid>
        <w:gridCol w:w="551"/>
        <w:gridCol w:w="5270"/>
        <w:gridCol w:w="3320"/>
      </w:tblGrid>
      <w:tr w:rsidR="006D59E6" w:rsidTr="00F36A0E">
        <w:trPr>
          <w:cantSplit/>
          <w:trHeight w:val="491"/>
          <w:tblHeader/>
          <w:jc w:val="center"/>
        </w:trPr>
        <w:tc>
          <w:tcPr>
            <w:tcW w:w="9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6D59E6" w:rsidRPr="00CD6223" w:rsidRDefault="006D59E6" w:rsidP="00F36A0E">
            <w:pPr>
              <w:widowControl/>
              <w:spacing w:line="259" w:lineRule="auto"/>
              <w:ind w:left="166"/>
              <w:jc w:val="center"/>
              <w:rPr>
                <w:b/>
                <w:sz w:val="18"/>
                <w:szCs w:val="18"/>
              </w:rPr>
            </w:pPr>
            <w:r w:rsidRPr="00CD6223">
              <w:rPr>
                <w:rFonts w:ascii="Arial" w:eastAsia="Arial" w:hAnsi="Arial" w:cs="Arial"/>
                <w:b/>
                <w:sz w:val="18"/>
                <w:szCs w:val="18"/>
              </w:rPr>
              <w:t>QUADRO RESUMO DO SISTEMA DE HIDRANTES E MANGOTINHOS PARA COMBATE AINCÊNDIO</w:t>
            </w:r>
          </w:p>
        </w:tc>
      </w:tr>
      <w:tr w:rsidR="006D59E6" w:rsidTr="00F36A0E">
        <w:trPr>
          <w:cantSplit/>
          <w:trHeight w:val="397"/>
          <w:tblHeader/>
          <w:jc w:val="center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Tipo do sistema adotado 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</w:p>
        </w:tc>
      </w:tr>
      <w:tr w:rsidR="006D59E6" w:rsidTr="00F36A0E">
        <w:trPr>
          <w:cantSplit/>
          <w:trHeight w:val="397"/>
          <w:tblHeader/>
          <w:jc w:val="center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Reserva Técnica de Incêndio (m³) 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</w:p>
        </w:tc>
      </w:tr>
      <w:tr w:rsidR="006D59E6" w:rsidTr="00F36A0E">
        <w:trPr>
          <w:cantSplit/>
          <w:trHeight w:val="415"/>
          <w:tblHeader/>
          <w:jc w:val="center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Tipo de reservatório (elevado ou subterrâneo) 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</w:p>
        </w:tc>
      </w:tr>
      <w:tr w:rsidR="006D59E6" w:rsidTr="00F36A0E">
        <w:trPr>
          <w:cantSplit/>
          <w:trHeight w:val="397"/>
          <w:tblHeader/>
          <w:jc w:val="center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Vazão no HI mais desfavorável (</w:t>
            </w:r>
            <w:proofErr w:type="spellStart"/>
            <w:r w:rsidRPr="0022472C">
              <w:rPr>
                <w:rFonts w:ascii="Arial" w:eastAsia="Arial" w:hAnsi="Arial" w:cs="Arial"/>
                <w:sz w:val="21"/>
                <w:szCs w:val="21"/>
              </w:rPr>
              <w:t>Lpm</w:t>
            </w:r>
            <w:proofErr w:type="spellEnd"/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) 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</w:p>
        </w:tc>
      </w:tr>
      <w:tr w:rsidR="006D59E6" w:rsidTr="00F36A0E">
        <w:trPr>
          <w:cantSplit/>
          <w:trHeight w:val="413"/>
          <w:tblHeader/>
          <w:jc w:val="center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5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Pressão no HI mais desfavorável (mca) 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</w:p>
        </w:tc>
      </w:tr>
      <w:tr w:rsidR="006D59E6" w:rsidTr="00F36A0E">
        <w:trPr>
          <w:cantSplit/>
          <w:trHeight w:val="397"/>
          <w:tblHeader/>
          <w:jc w:val="center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6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Pressão no HI mais favorável (mca) 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</w:p>
        </w:tc>
      </w:tr>
      <w:tr w:rsidR="006D59E6" w:rsidTr="00F36A0E">
        <w:trPr>
          <w:cantSplit/>
          <w:trHeight w:val="397"/>
          <w:tblHeader/>
          <w:jc w:val="center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7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4F461D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  <w:r w:rsidRPr="004F461D">
              <w:rPr>
                <w:rFonts w:ascii="Arial" w:eastAsia="Arial" w:hAnsi="Arial" w:cs="Arial"/>
                <w:sz w:val="21"/>
                <w:szCs w:val="21"/>
              </w:rPr>
              <w:t>Potência</w:t>
            </w:r>
            <w:r w:rsidR="00C02FFC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bookmarkStart w:id="0" w:name="_GoBack"/>
            <w:bookmarkEnd w:id="0"/>
            <w:r w:rsidRPr="004F461D">
              <w:rPr>
                <w:rFonts w:ascii="Arial" w:eastAsia="Arial" w:hAnsi="Arial" w:cs="Arial"/>
                <w:sz w:val="21"/>
                <w:szCs w:val="21"/>
              </w:rPr>
              <w:t xml:space="preserve">da bomba de incêndio (CV) 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</w:p>
        </w:tc>
      </w:tr>
      <w:tr w:rsidR="006D59E6" w:rsidTr="00F36A0E">
        <w:trPr>
          <w:cantSplit/>
          <w:trHeight w:val="397"/>
          <w:tblHeader/>
          <w:jc w:val="center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8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4F461D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  <w:r w:rsidRPr="004F461D">
              <w:rPr>
                <w:rFonts w:ascii="Arial" w:eastAsia="Arial" w:hAnsi="Arial" w:cs="Arial"/>
                <w:sz w:val="21"/>
                <w:szCs w:val="21"/>
              </w:rPr>
              <w:t xml:space="preserve">Potência da bomba </w:t>
            </w:r>
            <w:proofErr w:type="spellStart"/>
            <w:r w:rsidRPr="004F461D">
              <w:rPr>
                <w:rFonts w:ascii="Arial" w:eastAsia="Arial" w:hAnsi="Arial" w:cs="Arial"/>
                <w:sz w:val="21"/>
                <w:szCs w:val="21"/>
              </w:rPr>
              <w:t>jockey</w:t>
            </w:r>
            <w:proofErr w:type="spellEnd"/>
            <w:r w:rsidRPr="004F461D">
              <w:rPr>
                <w:rFonts w:ascii="Arial" w:eastAsia="Arial" w:hAnsi="Arial" w:cs="Arial"/>
                <w:sz w:val="21"/>
                <w:szCs w:val="21"/>
              </w:rPr>
              <w:t xml:space="preserve"> (CV) - caso haja 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</w:p>
        </w:tc>
      </w:tr>
      <w:tr w:rsidR="006D59E6" w:rsidTr="00F36A0E">
        <w:trPr>
          <w:cantSplit/>
          <w:trHeight w:val="397"/>
          <w:tblHeader/>
          <w:jc w:val="center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9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59E6" w:rsidRPr="0022472C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Tipos de mangueiras 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D59E6" w:rsidRPr="0022472C" w:rsidRDefault="006D59E6" w:rsidP="00F36A0E">
            <w:pPr>
              <w:widowControl/>
              <w:spacing w:line="259" w:lineRule="auto"/>
              <w:ind w:left="2"/>
              <w:rPr>
                <w:sz w:val="21"/>
                <w:szCs w:val="21"/>
              </w:rPr>
            </w:pPr>
          </w:p>
        </w:tc>
      </w:tr>
      <w:tr w:rsidR="006D59E6" w:rsidTr="00F36A0E">
        <w:trPr>
          <w:cantSplit/>
          <w:trHeight w:val="1695"/>
          <w:tblHeader/>
          <w:jc w:val="center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9E6" w:rsidRDefault="006D59E6" w:rsidP="00F36A0E">
            <w:pPr>
              <w:widowControl/>
              <w:spacing w:line="259" w:lineRule="auto"/>
              <w:ind w:left="2"/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10 </w:t>
            </w:r>
          </w:p>
        </w:tc>
        <w:tc>
          <w:tcPr>
            <w:tcW w:w="8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9E6" w:rsidRPr="0022472C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(Outras informações)  </w:t>
            </w:r>
          </w:p>
          <w:p w:rsidR="006D59E6" w:rsidRPr="0022472C" w:rsidRDefault="006D59E6" w:rsidP="00F36A0E">
            <w:pPr>
              <w:widowControl/>
              <w:spacing w:line="259" w:lineRule="auto"/>
              <w:rPr>
                <w:sz w:val="21"/>
                <w:szCs w:val="21"/>
              </w:rPr>
            </w:pPr>
          </w:p>
        </w:tc>
      </w:tr>
    </w:tbl>
    <w:p w:rsidR="006D59E6" w:rsidRDefault="006D59E6" w:rsidP="006D59E6">
      <w:pPr>
        <w:widowControl/>
        <w:spacing w:before="240" w:after="240"/>
      </w:pPr>
      <w:r>
        <w:rPr>
          <w:rFonts w:ascii="Arial" w:eastAsia="Arial" w:hAnsi="Arial" w:cs="Arial"/>
          <w:b/>
          <w:sz w:val="21"/>
          <w:szCs w:val="21"/>
        </w:rPr>
        <w:t>NOTAS GENÉRICAS:</w:t>
      </w:r>
    </w:p>
    <w:p w:rsidR="006D59E6" w:rsidRDefault="006D59E6" w:rsidP="006D59E6">
      <w:pPr>
        <w:widowControl/>
        <w:jc w:val="both"/>
      </w:pPr>
      <w:r>
        <w:rPr>
          <w:rFonts w:ascii="Arial" w:eastAsia="Arial" w:hAnsi="Arial" w:cs="Arial"/>
          <w:b/>
          <w:sz w:val="21"/>
          <w:szCs w:val="21"/>
        </w:rPr>
        <w:t xml:space="preserve">1) </w:t>
      </w:r>
      <w:r>
        <w:rPr>
          <w:rFonts w:ascii="Arial" w:eastAsia="Arial" w:hAnsi="Arial" w:cs="Arial"/>
          <w:sz w:val="21"/>
          <w:szCs w:val="21"/>
        </w:rPr>
        <w:t>Em sistemas de hidrantes ou mangotinhos projetados conforme legislação anterior à IT-17, o campo “Tipo do Sistema” deverá ser assinalado com um traço. Para esses casos, no campo “Outras informações”, deverá ser indicado o atendimento à legislação anterior.</w:t>
      </w:r>
    </w:p>
    <w:p w:rsidR="006D59E6" w:rsidRDefault="006D59E6" w:rsidP="006D59E6">
      <w:pPr>
        <w:widowControl/>
        <w:spacing w:before="24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2)</w:t>
      </w:r>
      <w:r>
        <w:rPr>
          <w:rFonts w:ascii="Arial" w:eastAsia="Arial" w:hAnsi="Arial" w:cs="Arial"/>
          <w:sz w:val="21"/>
          <w:szCs w:val="21"/>
        </w:rPr>
        <w:t xml:space="preserve"> Quando for projetado Hidrante de Coluna Seca, a informação deverá ser especificada no campo “Tipo do sistema adotado”, e deverá ser assinalado um traço no campo referente à RTI.</w:t>
      </w:r>
    </w:p>
    <w:p w:rsidR="006D59E6" w:rsidRDefault="006D59E6" w:rsidP="006D59E6">
      <w:pPr>
        <w:widowControl/>
        <w:spacing w:before="240"/>
        <w:jc w:val="both"/>
        <w:rPr>
          <w:rFonts w:ascii="Arial" w:eastAsia="Arial" w:hAnsi="Arial" w:cs="Arial"/>
          <w:sz w:val="21"/>
          <w:szCs w:val="21"/>
        </w:rPr>
      </w:pPr>
      <w:r w:rsidRPr="004F461D">
        <w:rPr>
          <w:rFonts w:ascii="Arial" w:eastAsia="Arial" w:hAnsi="Arial" w:cs="Arial"/>
          <w:b/>
          <w:sz w:val="21"/>
          <w:szCs w:val="21"/>
        </w:rPr>
        <w:t>2.1)</w:t>
      </w:r>
      <w:r w:rsidRPr="004F461D">
        <w:rPr>
          <w:rFonts w:ascii="Arial" w:eastAsia="Arial" w:hAnsi="Arial" w:cs="Arial"/>
          <w:sz w:val="21"/>
          <w:szCs w:val="21"/>
        </w:rPr>
        <w:t xml:space="preserve"> Deverá constar,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no campo “Outras informações”</w:t>
      </w:r>
      <w:r w:rsidRPr="004F461D">
        <w:rPr>
          <w:rFonts w:ascii="Arial" w:eastAsia="Arial" w:hAnsi="Arial" w:cs="Arial"/>
          <w:sz w:val="21"/>
          <w:szCs w:val="21"/>
        </w:rPr>
        <w:t>, a pressão mínima necessária para pressurização do sistema e a pressão máxima que o sistema suporta.</w:t>
      </w:r>
    </w:p>
    <w:p w:rsidR="006D59E6" w:rsidRPr="00125DEF" w:rsidRDefault="006D59E6" w:rsidP="006D59E6">
      <w:pPr>
        <w:widowControl/>
        <w:spacing w:before="240"/>
        <w:jc w:val="both"/>
        <w:rPr>
          <w:rFonts w:ascii="Arial" w:eastAsia="Arial" w:hAnsi="Arial" w:cs="Arial"/>
          <w:sz w:val="21"/>
          <w:szCs w:val="21"/>
        </w:rPr>
      </w:pPr>
      <w:r w:rsidRPr="00125DEF">
        <w:rPr>
          <w:rFonts w:ascii="Arial" w:eastAsia="Arial" w:hAnsi="Arial" w:cs="Arial"/>
          <w:b/>
          <w:sz w:val="21"/>
          <w:szCs w:val="21"/>
        </w:rPr>
        <w:t>2.2</w:t>
      </w:r>
      <w:r>
        <w:rPr>
          <w:rFonts w:ascii="Arial" w:eastAsia="Arial" w:hAnsi="Arial" w:cs="Arial"/>
          <w:b/>
          <w:sz w:val="21"/>
          <w:szCs w:val="21"/>
        </w:rPr>
        <w:t xml:space="preserve">) </w:t>
      </w:r>
      <w:r>
        <w:rPr>
          <w:rFonts w:ascii="Arial" w:eastAsia="Arial" w:hAnsi="Arial" w:cs="Arial"/>
          <w:sz w:val="21"/>
          <w:szCs w:val="21"/>
        </w:rPr>
        <w:t>A medida “Coluna seca (Hidrante) deverá ser assinalada no Infoscip.</w:t>
      </w:r>
    </w:p>
    <w:p w:rsidR="006D59E6" w:rsidRPr="006B22BE" w:rsidRDefault="006D59E6" w:rsidP="006D59E6">
      <w:pPr>
        <w:widowControl/>
        <w:spacing w:before="240"/>
        <w:jc w:val="both"/>
        <w:rPr>
          <w:rFonts w:ascii="Arial" w:eastAsia="Arial" w:hAnsi="Arial" w:cs="Arial"/>
          <w:sz w:val="21"/>
          <w:szCs w:val="21"/>
        </w:rPr>
      </w:pPr>
      <w:proofErr w:type="gramStart"/>
      <w:r w:rsidRPr="006B22BE">
        <w:rPr>
          <w:rFonts w:ascii="Arial" w:eastAsia="Arial" w:hAnsi="Arial" w:cs="Arial"/>
          <w:b/>
          <w:sz w:val="21"/>
          <w:szCs w:val="21"/>
        </w:rPr>
        <w:t>3)</w:t>
      </w:r>
      <w:r w:rsidR="00C02FFC"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Poderá</w:t>
      </w:r>
      <w:proofErr w:type="gramEnd"/>
      <w:r>
        <w:rPr>
          <w:rFonts w:ascii="Arial" w:eastAsia="Arial" w:hAnsi="Arial" w:cs="Arial"/>
          <w:sz w:val="21"/>
          <w:szCs w:val="21"/>
        </w:rPr>
        <w:t>, a critério do RT, ser executada bomba com potência superior à mínima definida no Quadro Resumo, desde que observados os limites de pressão, vazão e tempo de funcionamento do sistema estabelecidos na IT 17.</w:t>
      </w:r>
    </w:p>
    <w:p w:rsidR="006D59E6" w:rsidRPr="00C60D86" w:rsidRDefault="006D59E6" w:rsidP="006D59E6">
      <w:pPr>
        <w:widowControl/>
        <w:spacing w:before="240"/>
        <w:jc w:val="center"/>
      </w:pPr>
      <w:r>
        <w:rPr>
          <w:noProof/>
          <w:lang w:eastAsia="pt-BR"/>
        </w:rPr>
        <mc:AlternateContent>
          <mc:Choice Requires="wpg">
            <w:drawing>
              <wp:inline distT="0" distB="0" distL="0" distR="0">
                <wp:extent cx="2794635" cy="7620"/>
                <wp:effectExtent l="12065" t="8255" r="12700" b="3175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635" cy="7620"/>
                          <a:chOff x="0" y="0"/>
                          <a:chExt cx="4401" cy="12"/>
                        </a:xfrm>
                      </wpg:grpSpPr>
                      <wps:wsp>
                        <wps:cNvPr id="2" name="Line 8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40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028E8" id="Agrupar 1" o:spid="_x0000_s1026" style="width:220.05pt;height:.6pt;mso-position-horizontal-relative:char;mso-position-vertical-relative:line" coordsize="440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">
                <v:line id="Line 89" o:spid="_x0000_s1027" style="position:absolute;visibility:visible;mso-wrap-style:square" from="0,6" to="440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:rsidR="00987CA8" w:rsidRDefault="006D59E6" w:rsidP="006D59E6">
      <w:pPr>
        <w:jc w:val="center"/>
      </w:pPr>
      <w:r>
        <w:rPr>
          <w:rFonts w:ascii="Arial" w:hAnsi="Arial" w:cs="Arial"/>
          <w:b/>
          <w:sz w:val="20"/>
          <w:szCs w:val="20"/>
        </w:rPr>
        <w:t xml:space="preserve">Ass. Responsável Técnico - </w:t>
      </w:r>
      <w:r w:rsidRPr="00C60D86">
        <w:rPr>
          <w:rFonts w:ascii="Arial" w:hAnsi="Arial" w:cs="Arial"/>
          <w:b/>
          <w:sz w:val="20"/>
          <w:szCs w:val="20"/>
        </w:rPr>
        <w:t>CREA/CAU</w:t>
      </w:r>
    </w:p>
    <w:sectPr w:rsidR="00987CA8" w:rsidSect="006D59E6">
      <w:pgSz w:w="11906" w:h="16838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5A"/>
    <w:rsid w:val="004F1B5A"/>
    <w:rsid w:val="006D59E6"/>
    <w:rsid w:val="00987CA8"/>
    <w:rsid w:val="00C0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EC24A24"/>
  <w15:chartTrackingRefBased/>
  <w15:docId w15:val="{5D927083-6556-49E7-8146-89A5A7B8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9E6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4</cp:revision>
  <dcterms:created xsi:type="dcterms:W3CDTF">2021-01-04T18:30:00Z</dcterms:created>
  <dcterms:modified xsi:type="dcterms:W3CDTF">2021-01-04T18:31:00Z</dcterms:modified>
</cp:coreProperties>
</file>