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Funcionalidade: Cadastro de Clientes para Áreas de Entretenimento e Conservação Ambiental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 Visualizar Áreas de Entretenimento e Conservação Ambiental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Dado que estou logado no sistema como administrador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Quando eu acessar a página de visualização de áreas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Devo ver uma lista de áreas mapeadas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 cada área deve apresentar suas características principais e destacar sua área de atuação ambiental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 Cadastrar Novo Visitante em Área de Entretenimento e Conservação Ambiental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Dado que estou logado no sistema como atendente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Quando eu acessar a página de cadastro de visitantes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 preencher os dados do novo visitante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 selecionar a área de interesse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 confirmar o cadastro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Então o novo visitante deve ser registrado no sistema para a área selecionada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 uma confirmação de sucesso deve ser exibida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 Pesquisar Áreas de Entretenimento e Conservação Ambiental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Dado que estou logado no sistema como usuário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Quando eu realizar uma busca por áreas de entretenimento e conservação ambiental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 filtrar por características específicas, como áreas de balneários, trilhas, passeios ecológicos, etc.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Então devo receber uma lista de áreas que correspondem aos critérios de busca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 cada área deve apresentar suas características principais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Além de cada área apresentar sua área  de atuação ambiental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Esta especificação descreve três cenários relacionados ao cadastro de clientes em áreas de entretenimento e conservação ambiental: visualizar áreas, cadastrar novos visitantes e pesquisar áreas. Cada cenário é composto por passos claros que descrevem as ações do usuário e os resultados esperados.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