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sz w:val="28"/>
        </w:rPr>
        <w:t>Заключение по тестированию</w:t>
      </w:r>
    </w:p>
    <w:p>
      <w:pPr>
        <w:spacing w:before="0" w:after="200"/>
        <w:jc w:val="right"/>
      </w:pPr>
      <w:r>
        <w:rPr>
          <w:rFonts w:ascii="Arial" w:hAnsi="Arial"/>
          <w:b w:val="0"/>
          <w:i w:val="0"/>
          <w:sz w:val="22"/>
        </w:rPr>
        <w:t>06.06.2026</w:t>
      </w:r>
    </w:p>
    <w:p>
      <w:pPr>
        <w:spacing w:after="280"/>
      </w:pPr>
      <w:r>
        <w:rPr>
          <w:rFonts w:ascii="Arial" w:hAnsi="Arial"/>
          <w:b/>
          <w:sz w:val="22"/>
        </w:rPr>
        <w:t>Лобель Илана, 19.12.1947</w:t>
      </w:r>
      <w:r>
        <w:rPr>
          <w:rFonts w:ascii="Arial" w:hAnsi="Arial"/>
          <w:sz w:val="22"/>
        </w:rPr>
        <w:br/>
        <w:t>+972543939238</w:t>
      </w:r>
    </w:p>
    <w:p>
      <w:pPr>
        <w:spacing w:before="200" w:after="80"/>
      </w:pPr>
      <w:r>
        <w:rPr>
          <w:rFonts w:ascii="Arial" w:hAnsi="Arial"/>
          <w:b/>
          <w:i/>
          <w:sz w:val="22"/>
          <w:shd w:val="clear" w:color="auto" w:fill="F4B942"/>
        </w:rPr>
        <w:t>Выявленные нарушения:</w:t>
      </w:r>
    </w:p>
    <w:p>
      <w:pPr>
        <w:spacing w:before="200" w:after="40"/>
      </w:pPr>
      <w:r>
        <w:rPr>
          <w:rFonts w:ascii="Arial" w:hAnsi="Arial"/>
          <w:b/>
          <w:sz w:val="22"/>
        </w:rPr>
        <w:t>НЕРВНАЯ СИСТЕМА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Напряжение нервной системы 1-й степени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снижения уровня мелатонина</w:t>
      </w:r>
    </w:p>
    <w:p>
      <w:pPr>
        <w:spacing w:before="200" w:after="40"/>
      </w:pPr>
      <w:r>
        <w:rPr>
          <w:rFonts w:ascii="Arial" w:hAnsi="Arial"/>
          <w:b/>
          <w:sz w:val="22"/>
        </w:rPr>
        <w:t>ОПОРНО-ДВИГАТЕЛЬНЫЙ АППАРАТ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напряжения в области 1-2 шейных позвонков,</w:t>
      </w:r>
      <w:r>
        <w:rPr>
          <w:rFonts w:ascii="Arial" w:hAnsi="Arial"/>
          <w:sz w:val="22"/>
        </w:rPr>
        <w:t xml:space="preserve"> защемление позвоночных артерий со склонностью к скачкам артериального давления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грыжи в поясничном отделе позвоночника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выраженного остеохондроза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смещения межпозвоночных дисков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кифоза в шейном и грудном отделе позвоночника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нарушения осанки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изменения свода стопы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воспаления мелких суставов</w:t>
      </w:r>
      <w:r>
        <w:rPr>
          <w:rFonts w:ascii="Arial" w:hAnsi="Arial"/>
          <w:i/>
          <w:sz w:val="22"/>
        </w:rPr>
        <w:t xml:space="preserve"> (подагра — под вопросом)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остеопороза</w:t>
      </w:r>
    </w:p>
    <w:p>
      <w:pPr>
        <w:spacing w:before="200" w:after="40"/>
      </w:pPr>
      <w:r>
        <w:rPr>
          <w:rFonts w:ascii="Arial" w:hAnsi="Arial"/>
          <w:b/>
          <w:sz w:val="22"/>
        </w:rPr>
        <w:t>СЕРДЕЧНО-СОСУДИСТАЯ СИСТЕМА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выраженного атеросклероза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липидемии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склонности к повышению артериального давления и тахикардии</w:t>
      </w:r>
      <w:r>
        <w:rPr>
          <w:rFonts w:ascii="Arial" w:hAnsi="Arial"/>
          <w:sz w:val="22"/>
        </w:rPr>
        <w:t xml:space="preserve"> (учащённому сердцебиению)</w:t>
      </w:r>
    </w:p>
    <w:p>
      <w:pPr>
        <w:spacing w:before="200" w:after="40"/>
      </w:pPr>
      <w:r>
        <w:rPr>
          <w:rFonts w:ascii="Arial" w:hAnsi="Arial"/>
          <w:b/>
          <w:sz w:val="22"/>
        </w:rPr>
        <w:t>ПИЩЕВАРИТЕЛЬНАЯ СИСТЕМА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жировой инфильтрации печени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хронического холецистита со склонностью к камнеобразованию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сужения желчевыводящих путей по гипокинетическому типу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недостаточности пищеварения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избыточного процесса брожения в толстом кишечнике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изменения кислотности желудочного сока</w:t>
      </w:r>
    </w:p>
    <w:p>
      <w:pPr>
        <w:spacing w:before="200" w:after="40"/>
      </w:pPr>
      <w:r>
        <w:rPr>
          <w:rFonts w:ascii="Arial" w:hAnsi="Arial"/>
          <w:b/>
          <w:sz w:val="22"/>
        </w:rPr>
        <w:t>ЭНДОКРИННАЯ И РЕПРОДУКТИВНАЯ СИСТЕМА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выраженных климактерических изменений в яичниках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Выраженная гипоэстрогенемия</w:t>
      </w:r>
      <w:r>
        <w:rPr>
          <w:rFonts w:ascii="Arial" w:hAnsi="Arial"/>
          <w:sz w:val="22"/>
        </w:rPr>
        <w:t xml:space="preserve"> (снижение женского гормона и остеопороза)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нарушения глюкокортикоидной функции яичников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нарушения обмена веществ</w:t>
      </w:r>
    </w:p>
    <w:p>
      <w:pPr>
        <w:spacing w:before="200" w:after="40"/>
      </w:pPr>
      <w:r>
        <w:rPr>
          <w:rFonts w:ascii="Arial" w:hAnsi="Arial"/>
          <w:b/>
          <w:sz w:val="22"/>
        </w:rPr>
        <w:t>МОЧЕВЫДЕЛИТЕЛЬНАЯ СИСТЕМА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нарушения сократительной функции / тонуса мочевого пузыря</w:t>
      </w:r>
    </w:p>
    <w:p>
      <w:pPr>
        <w:spacing w:before="200" w:after="40"/>
      </w:pPr>
      <w:r>
        <w:rPr>
          <w:rFonts w:ascii="Arial" w:hAnsi="Arial"/>
          <w:b/>
          <w:sz w:val="22"/>
        </w:rPr>
        <w:t>ОРГАНЫ ЗРЕНИЯ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снижения остроты зрения, повышения внутриглазного давления, помутнения хрусталика правого глаза</w:t>
      </w:r>
    </w:p>
    <w:p>
      <w:pPr>
        <w:spacing w:before="200" w:after="40"/>
      </w:pPr>
      <w:r>
        <w:rPr>
          <w:rFonts w:ascii="Arial" w:hAnsi="Arial"/>
          <w:b/>
          <w:sz w:val="22"/>
        </w:rPr>
        <w:t>ИММУННАЯ СИСТЕМА И ИНФЕКЦИИ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изменений лимфатических узлов средостения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хронического тонзиллита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Папилломавирус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Герпес 2-го, 3-го, 7-го типа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Паразитоз</w:t>
      </w:r>
    </w:p>
    <w:p>
      <w:pPr>
        <w:spacing w:before="200" w:after="40"/>
      </w:pPr>
      <w:r>
        <w:rPr>
          <w:rFonts w:ascii="Arial" w:hAnsi="Arial"/>
          <w:b/>
          <w:sz w:val="22"/>
        </w:rPr>
        <w:t>ДЕФИЦИТЫ ПИТАТЕЛЬНЫХ ВЕЩЕСТВ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глубокого дефицита всех витаминов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дефицита витамина D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дефицита кальция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дефицита минералов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дефицита аминокислот:</w:t>
      </w:r>
      <w:r>
        <w:rPr>
          <w:rFonts w:ascii="Arial" w:hAnsi="Arial"/>
          <w:sz w:val="22"/>
        </w:rPr>
        <w:t xml:space="preserve"> цистина, глицина, карнитина, глутаминовой кислоты, таурина, лизина, триптофана, фенилаланина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интоксикации микотоксинами</w:t>
      </w:r>
    </w:p>
    <w:p>
      <w:pPr>
        <w:spacing w:before="200" w:after="40"/>
      </w:pPr>
      <w:r>
        <w:rPr>
          <w:rFonts w:ascii="Arial" w:hAnsi="Arial"/>
          <w:b/>
          <w:sz w:val="22"/>
        </w:rPr>
        <w:t>ПИЩЕВАЯ НЕПЕРЕНОСИМОСТЬ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Признаки непереносимости:</w:t>
      </w:r>
      <w:r>
        <w:rPr>
          <w:rFonts w:ascii="Arial" w:hAnsi="Arial"/>
          <w:sz w:val="22"/>
        </w:rPr>
        <w:t xml:space="preserve"> дрожжей, риса, глютена, злаковых, домашней пыли, кофе, чая, шоколада и какао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Непереносимость листовых и зелёных овощей и фруктов</w:t>
      </w:r>
    </w:p>
    <w:p>
      <w:pPr>
        <w:spacing w:before="80" w:after="80"/>
        <w:pBdr>
          <w:bottom w:val="single" w:sz="4" w:space="1" w:color="AAAAAA"/>
        </w:pBdr>
      </w:pPr>
    </w:p>
    <w:p>
      <w:pPr>
        <w:spacing w:before="200" w:after="80"/>
      </w:pPr>
      <w:r>
        <w:rPr>
          <w:rFonts w:ascii="Arial" w:hAnsi="Arial"/>
          <w:b/>
          <w:i/>
          <w:sz w:val="22"/>
          <w:shd w:val="clear" w:color="auto" w:fill="F4B942"/>
        </w:rPr>
        <w:t>Режим: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Активное движение</w:t>
      </w:r>
      <w:r>
        <w:rPr>
          <w:rFonts w:ascii="Arial" w:hAnsi="Arial"/>
          <w:sz w:val="22"/>
        </w:rPr>
        <w:t xml:space="preserve"> — улучшает кровообращение, обмен веществ и помогает поддерживать нормальный вес.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Избегать переохлаждения</w:t>
      </w:r>
      <w:r>
        <w:rPr>
          <w:rFonts w:ascii="Arial" w:hAnsi="Arial"/>
          <w:sz w:val="22"/>
        </w:rPr>
        <w:t xml:space="preserve"> — холод может снижать иммунитет и ухудшать работу организма.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Избегать перегрева</w:t>
      </w:r>
      <w:r>
        <w:rPr>
          <w:rFonts w:ascii="Arial" w:hAnsi="Arial"/>
          <w:sz w:val="22"/>
        </w:rPr>
        <w:t xml:space="preserve"> — перегрев создаёт нагрузку на сердце и может приводить к обезвоживанию.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Сон 7–8 часов</w:t>
      </w:r>
      <w:r>
        <w:rPr>
          <w:rFonts w:ascii="Arial" w:hAnsi="Arial"/>
          <w:sz w:val="22"/>
        </w:rPr>
        <w:t xml:space="preserve"> — необходим для восстановления организма и нормальной работы нервной системы.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Отбой в 22:00 (максимум до 23:00)</w:t>
      </w:r>
      <w:r>
        <w:rPr>
          <w:rFonts w:ascii="Arial" w:hAnsi="Arial"/>
          <w:sz w:val="22"/>
        </w:rPr>
        <w:t xml:space="preserve"> — ранний сон помогает нормализовать гормональный баланс и улучшает восстановление организма.</w:t>
      </w:r>
    </w:p>
    <w:p>
      <w:pPr>
        <w:spacing w:before="80" w:after="80"/>
        <w:pBdr>
          <w:bottom w:val="single" w:sz="4" w:space="1" w:color="AAAAAA"/>
        </w:pBdr>
      </w:pPr>
    </w:p>
    <w:p>
      <w:pPr>
        <w:spacing w:before="200" w:after="80"/>
      </w:pPr>
      <w:r>
        <w:rPr>
          <w:rFonts w:ascii="Arial" w:hAnsi="Arial"/>
          <w:b/>
          <w:i/>
          <w:sz w:val="22"/>
          <w:shd w:val="clear" w:color="auto" w:fill="9DC3E6"/>
        </w:rPr>
        <w:t>Модификация образа жизни: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Снизить массу тела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Снижение веса помогает уменьшить нагрузку на сердце, суставы, улучшает обмен веществ и снижает уровень воспаления.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Уменьшить обхват талии до 78 см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Контроль талии важен для уменьшения висцерального жира (жира вокруг внутренних органов), который повышает риск метаболических и гормональных нарушений.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Дыхательные упражнения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На счёт 1–2–3 — медленный вдох, надуваем живот.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На счёт 1–2–3–4–5–6 — медленный выдох, втягиваем живот под рёбра.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Выполнять 10–15 раз.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Упражнение улучшает работу диафрагмы, активирует мышцы живота, улучшает насыщение организма кислородом и снижает уровень стресса.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Тренировки бодифлекс по 30 минут в день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Выполнять утром натощак или через 2,5–3 часа после еды.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Такие тренировки активизируют обмен веществ, укрепляют мышцы и способствуют уменьшению объёмов тела.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Ходьба быстрым шагом не менее 60 минут в день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Улучшает работу сердечно-сосудистой системы, помогает сжигать калории и поддерживает общий уровень физической активности.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Контрольные измерения утром натощак 1 раз в неделю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Регулярные измерения веса и объёмов помогают отслеживать прогресс и корректировать программу при необходимости.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Работа со стрессом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Снижение уровня стресса важно для нормализации гормонального фона, уменьшения переедания и улучшения общего самочувствия.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Можно использовать дыхательные практики, прогулки, отдых и техники расслабления.</w:t>
      </w:r>
    </w:p>
    <w:p>
      <w:pPr>
        <w:spacing w:before="80" w:after="80"/>
        <w:pBdr>
          <w:bottom w:val="single" w:sz="4" w:space="1" w:color="AAAAAA"/>
        </w:pBdr>
      </w:pPr>
    </w:p>
    <w:p>
      <w:pPr>
        <w:spacing w:before="200" w:after="80"/>
      </w:pPr>
      <w:r>
        <w:rPr>
          <w:rFonts w:ascii="Arial" w:hAnsi="Arial"/>
          <w:b/>
          <w:i/>
          <w:sz w:val="22"/>
          <w:shd w:val="clear" w:color="auto" w:fill="F4B942"/>
        </w:rPr>
        <w:t>Режим питания: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Дробное питание (4–5 раз в сутки)</w:t>
      </w:r>
      <w:r>
        <w:rPr>
          <w:rFonts w:ascii="Arial" w:hAnsi="Arial"/>
          <w:sz w:val="22"/>
        </w:rPr>
        <w:t xml:space="preserve"> — помогает поддерживать стабильный уровень энергии и предотвращает сильное чувство голода и переедание.</w:t>
      </w:r>
    </w:p>
    <w:p>
      <w:pPr>
        <w:spacing w:before="0" w:after="40"/>
      </w:pP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Вода 1,5–2 л в день</w:t>
      </w:r>
      <w:r>
        <w:rPr>
          <w:rFonts w:ascii="Arial" w:hAnsi="Arial"/>
          <w:sz w:val="22"/>
        </w:rPr>
        <w:t xml:space="preserve"> — поддерживает обмен веществ и нормальную работу организма.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Утром натощак — стакан тёплой воды с лимоном для мягкого запуска пищеварения.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Перед каждым приёмом пищи — стакан тёплой воды для улучшения работы желудка.</w:t>
      </w:r>
    </w:p>
    <w:p>
      <w:pPr>
        <w:spacing w:before="0" w:after="40"/>
      </w:pP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Размер порции 250–300 г</w:t>
      </w:r>
      <w:r>
        <w:rPr>
          <w:rFonts w:ascii="Arial" w:hAnsi="Arial"/>
          <w:sz w:val="22"/>
        </w:rPr>
        <w:t xml:space="preserve"> (для первых блюд до 350 г, перекусы 100–150 г) — помогает контролировать количество еды и не перегружать желудок.</w:t>
      </w:r>
    </w:p>
    <w:p>
      <w:pPr>
        <w:spacing w:before="0" w:after="40"/>
      </w:pP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Тщательно пережёвывать пищу до жидкого состояния</w:t>
      </w:r>
      <w:r>
        <w:rPr>
          <w:rFonts w:ascii="Arial" w:hAnsi="Arial"/>
          <w:sz w:val="22"/>
        </w:rPr>
        <w:t xml:space="preserve"> — облегчает пищеварение и улучшает усвоение питательных веществ.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Приём пищи должен длиться 15–25 минут, чтобы организм успел почувствовать насыщение. (перекус если мягкий или жидкий 5–10 минут).</w:t>
      </w:r>
    </w:p>
    <w:p>
      <w:pPr>
        <w:spacing w:before="0" w:after="40"/>
      </w:pP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Промежутки между приёмами пищи около 3 часов</w:t>
      </w:r>
      <w:r>
        <w:rPr>
          <w:rFonts w:ascii="Arial" w:hAnsi="Arial"/>
          <w:sz w:val="22"/>
        </w:rPr>
        <w:t xml:space="preserve"> — помогают поддерживать стабильный уровень сахара в крови, уровень энергии и предотвращают переедание.</w:t>
      </w:r>
    </w:p>
    <w:p>
      <w:pPr>
        <w:spacing w:before="80" w:after="80"/>
        <w:pBdr>
          <w:bottom w:val="single" w:sz="4" w:space="1" w:color="AAAAAA"/>
        </w:pBdr>
      </w:pPr>
    </w:p>
    <w:p>
      <w:pPr>
        <w:spacing w:before="200" w:after="80"/>
      </w:pPr>
      <w:r>
        <w:rPr>
          <w:rFonts w:ascii="Arial" w:hAnsi="Arial"/>
          <w:b/>
          <w:i/>
          <w:sz w:val="22"/>
          <w:shd w:val="clear" w:color="auto" w:fill="A8D08D"/>
        </w:rPr>
        <w:t>Питание: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Ограничить до 100 г в неделю: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Продукты с глютеном</w:t>
      </w:r>
      <w:r>
        <w:rPr>
          <w:rFonts w:ascii="Arial" w:hAnsi="Arial"/>
          <w:sz w:val="22"/>
        </w:rPr>
        <w:t xml:space="preserve"> (пшеница, рожь, овсянка, манка, булгур, перловка, полба, макароны, выпечка) — могут перегружать пищеварение и провоцировать воспалительные реакции.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Молоко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Мясо: свинина, телятина, баранина</w:t>
      </w:r>
      <w:r>
        <w:rPr>
          <w:rFonts w:ascii="Arial" w:hAnsi="Arial"/>
          <w:sz w:val="22"/>
        </w:rPr>
        <w:t xml:space="preserve"> — тяжело переваривается и перегружает пищеварительную систему.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Продукты с пищевыми добавками</w:t>
      </w:r>
      <w:r>
        <w:rPr>
          <w:rFonts w:ascii="Arial" w:hAnsi="Arial"/>
          <w:sz w:val="22"/>
        </w:rPr>
        <w:t xml:space="preserve"> — негативно влияют на обмен веществ и микрофлору кишечника.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Газированные и сладкие напитки</w:t>
      </w:r>
      <w:r>
        <w:rPr>
          <w:rFonts w:ascii="Arial" w:hAnsi="Arial"/>
          <w:sz w:val="22"/>
        </w:rPr>
        <w:t xml:space="preserve"> — содержат много сахара и нарушают обмен веществ.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Сладости</w:t>
      </w:r>
      <w:r>
        <w:rPr>
          <w:rFonts w:ascii="Arial" w:hAnsi="Arial"/>
          <w:sz w:val="22"/>
        </w:rPr>
        <w:t xml:space="preserve"> — вызывают резкие колебания уровня сахара в крови и способствуют набору веса.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Продукты с дрожжами</w:t>
      </w:r>
      <w:r>
        <w:rPr>
          <w:rFonts w:ascii="Arial" w:hAnsi="Arial"/>
          <w:sz w:val="22"/>
        </w:rPr>
        <w:t xml:space="preserve"> (выпечка, пиво, квас) — могут вызывать брожение в кишечнике.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Алкоголь</w:t>
      </w:r>
      <w:r>
        <w:rPr>
          <w:rFonts w:ascii="Arial" w:hAnsi="Arial"/>
          <w:sz w:val="22"/>
        </w:rPr>
        <w:t xml:space="preserve"> — перегружает печень и нарушает обмен веществ.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Уксус, кроме яблочного</w:t>
      </w:r>
      <w:r>
        <w:rPr>
          <w:rFonts w:ascii="Arial" w:hAnsi="Arial"/>
          <w:sz w:val="22"/>
        </w:rPr>
        <w:t xml:space="preserve"> — может раздражать слизистую желудка.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Свежая выпечка и варёное тесто</w:t>
      </w:r>
      <w:r>
        <w:rPr>
          <w:rFonts w:ascii="Arial" w:hAnsi="Arial"/>
          <w:sz w:val="22"/>
        </w:rPr>
        <w:t xml:space="preserve"> — тяжело перевариваются и вызывают брожение.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Ограничить способы приготовления: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Жареное</w:t>
      </w:r>
      <w:r>
        <w:rPr>
          <w:rFonts w:ascii="Arial" w:hAnsi="Arial"/>
          <w:sz w:val="22"/>
        </w:rPr>
        <w:t xml:space="preserve"> — содержит избыток жиров и ухудшает пищеварение.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Острое</w:t>
      </w:r>
      <w:r>
        <w:rPr>
          <w:rFonts w:ascii="Arial" w:hAnsi="Arial"/>
          <w:sz w:val="22"/>
        </w:rPr>
        <w:t xml:space="preserve"> — раздражает слизистую желудка.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Копчёное</w:t>
      </w:r>
      <w:r>
        <w:rPr>
          <w:rFonts w:ascii="Arial" w:hAnsi="Arial"/>
          <w:sz w:val="22"/>
        </w:rPr>
        <w:t xml:space="preserve"> — содержит вредные вещества и перегружает печень.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Консервированное</w:t>
      </w:r>
      <w:r>
        <w:rPr>
          <w:rFonts w:ascii="Arial" w:hAnsi="Arial"/>
          <w:sz w:val="22"/>
        </w:rPr>
        <w:t xml:space="preserve"> — содержит много соли и добавок.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Свежая выпечка</w:t>
      </w:r>
      <w:r>
        <w:rPr>
          <w:rFonts w:ascii="Arial" w:hAnsi="Arial"/>
          <w:sz w:val="22"/>
        </w:rPr>
        <w:t xml:space="preserve"> — вызывает брожение и тяжесть в желудке.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Рекомендуется употреблять как основной рацион: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Овощи и зелень 250–300 г в день</w:t>
      </w:r>
      <w:r>
        <w:rPr>
          <w:rFonts w:ascii="Arial" w:hAnsi="Arial"/>
          <w:sz w:val="22"/>
        </w:rPr>
        <w:t xml:space="preserve"> — источник клетчатки, витаминов и поддержка работы кишечника.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Яйца 2 шт в день</w:t>
      </w:r>
      <w:r>
        <w:rPr>
          <w:rFonts w:ascii="Arial" w:hAnsi="Arial"/>
          <w:sz w:val="22"/>
        </w:rPr>
        <w:t xml:space="preserve"> — источник полноценного белка и полезных жиров.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Лучше утром, с жидким желтком.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Ягоды до 100 г в день</w:t>
      </w:r>
      <w:r>
        <w:rPr>
          <w:rFonts w:ascii="Arial" w:hAnsi="Arial"/>
          <w:sz w:val="22"/>
        </w:rPr>
        <w:t xml:space="preserve"> — содержат антиоксиданты и поддерживают иммунитет.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Фрукты 100–150 г</w:t>
      </w:r>
      <w:r>
        <w:rPr>
          <w:rFonts w:ascii="Arial" w:hAnsi="Arial"/>
          <w:sz w:val="22"/>
        </w:rPr>
        <w:t xml:space="preserve"> — источник витаминов и клетчатки.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Лучше до 16:00. Акцент на цитрусовые, ананасы, грейпфруты, разноцветные.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Белковые продукты: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Птица и кролик (курица, индейка)</w:t>
      </w:r>
      <w:r>
        <w:rPr>
          <w:rFonts w:ascii="Arial" w:hAnsi="Arial"/>
          <w:sz w:val="22"/>
        </w:rPr>
        <w:t xml:space="preserve"> — до 140–150 г за приём, 3–4 раза в неделю, желательно до 16:00.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Легко усваиваемый белок.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Нежирная телятина</w:t>
      </w:r>
      <w:r>
        <w:rPr>
          <w:rFonts w:ascii="Arial" w:hAnsi="Arial"/>
          <w:sz w:val="22"/>
        </w:rPr>
        <w:t xml:space="preserve"> — до 140 г, до 2 раз в неделю.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Источник железа и белка.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Печень (телячья, кроличья, индюшиная)</w:t>
      </w:r>
      <w:r>
        <w:rPr>
          <w:rFonts w:ascii="Arial" w:hAnsi="Arial"/>
          <w:sz w:val="22"/>
        </w:rPr>
        <w:t xml:space="preserve"> — до 140 г, 1–2 раза в неделю.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Богата железом и витаминами группы B.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Молочные продукты: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сыр до 40% жирности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сметана до 10%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йогурт безлактозный, кефир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сливочное масло 82%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масло ГХИ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Источник полезных жиров и жирорастворимых витаминов, а также улучшает микрофлору.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Рыба и морепродукты: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Жирная рыба 1–2 раза в неделю</w:t>
      </w:r>
      <w:r>
        <w:rPr>
          <w:rFonts w:ascii="Arial" w:hAnsi="Arial"/>
          <w:sz w:val="22"/>
        </w:rPr>
        <w:t xml:space="preserve"> (лосось, скумбрия, сельдь) — источник омега-3.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Нежирная рыба 4–5 раз в неделю</w:t>
      </w:r>
      <w:r>
        <w:rPr>
          <w:rFonts w:ascii="Arial" w:hAnsi="Arial"/>
          <w:sz w:val="22"/>
        </w:rPr>
        <w:t xml:space="preserve"> (треска, хек, судак) — легко усваиваемый белок.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Морепродукты 2–3 раза в неделю</w:t>
      </w:r>
      <w:r>
        <w:rPr>
          <w:rFonts w:ascii="Arial" w:hAnsi="Arial"/>
          <w:sz w:val="22"/>
        </w:rPr>
        <w:t xml:space="preserve"> — источник йода, белка и микроэлементов.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Дополнительные продукты: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Бобовые (фасоль, чечевица, нут, соя)</w:t>
      </w:r>
      <w:r>
        <w:rPr>
          <w:rFonts w:ascii="Arial" w:hAnsi="Arial"/>
          <w:sz w:val="22"/>
        </w:rPr>
        <w:t xml:space="preserve"> — 100–130 г, 2–4 раза в неделю.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Источник растительного белка и клетчатки.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Грибы до 100 г</w:t>
      </w:r>
      <w:r>
        <w:rPr>
          <w:rFonts w:ascii="Arial" w:hAnsi="Arial"/>
          <w:sz w:val="22"/>
        </w:rPr>
        <w:t xml:space="preserve"> — 1–2 раза в неделю до 16:00.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Содержат белок, клетчатку и микроэлементы.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Крупы 3–4 ст. л</w:t>
      </w:r>
      <w:r>
        <w:rPr>
          <w:rFonts w:ascii="Arial" w:hAnsi="Arial"/>
          <w:sz w:val="22"/>
        </w:rPr>
        <w:t xml:space="preserve"> — 4–5 раз в неделю, лучше утром или в обед.</w:t>
      </w:r>
    </w:p>
    <w:p>
      <w:pPr>
        <w:spacing w:before="0" w:after="60"/>
        <w:ind w:left="480"/>
      </w:pPr>
      <w:r>
        <w:rPr>
          <w:rFonts w:ascii="Arial" w:hAnsi="Arial"/>
          <w:i/>
          <w:sz w:val="22"/>
        </w:rPr>
        <w:t>Подходят: гречка, бурый/дикий рис, киноа, пшено, сорго.</w:t>
      </w:r>
    </w:p>
    <w:p>
      <w:pPr>
        <w:spacing w:before="80" w:after="80"/>
        <w:pBdr>
          <w:bottom w:val="single" w:sz="4" w:space="1" w:color="AAAAAA"/>
        </w:pBdr>
      </w:pPr>
    </w:p>
    <w:p>
      <w:pPr>
        <w:spacing w:before="200" w:after="80"/>
      </w:pPr>
      <w:r>
        <w:rPr>
          <w:rFonts w:ascii="Arial" w:hAnsi="Arial"/>
          <w:b/>
          <w:i/>
          <w:sz w:val="22"/>
          <w:shd w:val="clear" w:color="auto" w:fill="F4B942"/>
        </w:rPr>
        <w:t>Меню:</w:t>
      </w:r>
    </w:p>
    <w:p>
      <w:pPr>
        <w:spacing w:before="80" w:after="40"/>
      </w:pPr>
      <w:r>
        <w:rPr>
          <w:rFonts w:ascii="Arial" w:hAnsi="Arial"/>
          <w:b/>
          <w:i w:val="0"/>
          <w:sz w:val="22"/>
        </w:rPr>
        <w:t>Завтраки: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Тост из чёрного хлеба с тунцом + гречка + сливочное масло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Омлет из 2 яиц + пшено + тушёная морковь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2 яйца пашот + киноа + зелень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Тост из цельнозернового хлеба + хумус + тушёная свёкла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Омлет + бурый рис + масло ГХИ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Яйца всмятку + гречка + огурец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Авокадо + гречка + тушёная капуста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Пшённая каша с тыквой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Картофель в мундире + салат + слабосолёная рыба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Гречка с грибами + квашеная капуста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Кабачково-морковные оладьи + сметана + моцарелла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Омлет с овощами + бурый рис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Перекусы: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Яблоко + сыр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Ягоды + сметана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Банан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Грейпфрут + семена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Йогурт + ягоды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Запечённое яблоко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Сыр бри + груша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Ананас или киви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Обеды: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Куриное филе + гречка + салат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Индейка + пшено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Телятина + картофель + зелень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Печень индейки + гречка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Курица + бурый рис + салат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Фасоль + овощи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Чечевица + капуста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Рыба + картофель + салат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Тефтели + пюре из цветной капусты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Борщ + хлеб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Скумбрия с овощами (или филе рыбы запечённое)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Голубцы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Суши 6–8 шт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Суп с курицей + 1 кусочек цельнозернового хлеба или 2 хлебца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Лаваш с курицей и овощами с греческим йогуртом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Салат с морепродуктами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Полдник: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Сыр фета + овощи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Ягоды до 120 г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Яблоко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Запечённая груша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Хумус + хлебец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Фрукты до 100 г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Ужины: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Треска + овощи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Хек + капуста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Судак + кабачки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Рыба + свёкла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Морепродукты + рагу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Борщ с фасолью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Рыбные котлеты + овощи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Суп с фрикадельками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Крем-суп из шпината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Овощное рагу с курицей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Греческий салат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Винегрет + сыр фета 2/1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>Лосось + брокколи или цветная капуста на пару</w:t>
      </w:r>
    </w:p>
    <w:p>
      <w:pPr>
        <w:spacing w:before="80" w:after="80"/>
        <w:pBdr>
          <w:bottom w:val="single" w:sz="4" w:space="1" w:color="AAAAAA"/>
        </w:pBdr>
      </w:pPr>
    </w:p>
    <w:p>
      <w:pPr>
        <w:spacing w:before="200" w:after="80"/>
      </w:pPr>
      <w:r>
        <w:rPr>
          <w:rFonts w:ascii="Arial" w:hAnsi="Arial"/>
          <w:b/>
          <w:i/>
          <w:sz w:val="22"/>
          <w:shd w:val="clear" w:color="auto" w:fill="A8D08D"/>
        </w:rPr>
        <w:t>Схема коррекции здоровья: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Хитозан — </w:t>
      </w:r>
      <w:r>
        <w:rPr>
          <w:rFonts w:ascii="Arial" w:hAnsi="Arial"/>
          <w:sz w:val="22"/>
        </w:rPr>
        <w:t>по 2 к перед сном и 2 капсулы натощак — 10 дней. После по 1 к перед сном и утром натощак.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Бисглицинат магния — </w:t>
      </w:r>
      <w:r>
        <w:rPr>
          <w:rFonts w:ascii="Arial" w:hAnsi="Arial"/>
          <w:sz w:val="22"/>
        </w:rPr>
        <w:t>по 500 мг утром и перед сном — 20 дней. После по 500 мг перед сном долгосрочно.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Витамин Д — </w:t>
      </w:r>
      <w:r>
        <w:rPr>
          <w:rFonts w:ascii="Arial" w:hAnsi="Arial"/>
          <w:sz w:val="22"/>
        </w:rPr>
        <w:t>по 4000 ед — 2 недели. После по 2000 ед. до июня включительно.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Цинк — </w:t>
      </w:r>
      <w:r>
        <w:rPr>
          <w:rFonts w:ascii="Arial" w:hAnsi="Arial"/>
          <w:sz w:val="22"/>
        </w:rPr>
        <w:t>по 50 мг 2 раза в день. Курс 1 месяц.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Ашваганда — </w:t>
      </w:r>
      <w:r>
        <w:rPr>
          <w:rFonts w:ascii="Arial" w:hAnsi="Arial"/>
          <w:sz w:val="22"/>
        </w:rPr>
        <w:t>(по рекомендации производителя) — курс 3 месяца. (помогает восстановлению надпочечников, помогает адаптироваться к стрессу)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Phithorin — </w:t>
      </w:r>
      <w:r>
        <w:rPr>
          <w:rFonts w:ascii="Arial" w:hAnsi="Arial"/>
          <w:sz w:val="22"/>
        </w:rPr>
        <w:t>по 1 к 2 раза в день и вечером в 21–22:00 — 2 недели, затем по 2 к 2 раза в день — 2,5 месяца.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МУВ Форевер — </w:t>
      </w:r>
      <w:r>
        <w:rPr>
          <w:rFonts w:ascii="Arial" w:hAnsi="Arial"/>
          <w:sz w:val="22"/>
        </w:rPr>
        <w:t>по 1 к 2 раза в день с едой. Курс от 3 месяцев. (для уменьшения воспаления в суставах и восстановления движения и хрящей)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L-аргинин — </w:t>
      </w:r>
      <w:r>
        <w:rPr>
          <w:rFonts w:ascii="Arial" w:hAnsi="Arial"/>
          <w:sz w:val="22"/>
        </w:rPr>
        <w:t>по 1000 мг утром с едой. Курс 3 месяца (для улучшения кровообращения и снижения давления).</w:t>
      </w:r>
    </w:p>
    <w:p>
      <w:pPr>
        <w:pStyle w:val="ListBullet"/>
        <w:spacing w:before="0" w:after="60"/>
      </w:pPr>
      <w:r>
        <w:rPr>
          <w:rFonts w:ascii="Arial" w:hAnsi="Arial"/>
          <w:b/>
          <w:sz w:val="22"/>
        </w:rPr>
        <w:t xml:space="preserve">Рефлекшн — </w:t>
      </w:r>
      <w:r>
        <w:rPr>
          <w:rFonts w:ascii="Arial" w:hAnsi="Arial"/>
          <w:sz w:val="22"/>
        </w:rPr>
        <w:t>по 1 к утром и перед сном. Курс 1 месяц (антистресс).</w:t>
      </w:r>
    </w:p>
    <w:p>
      <w:pPr>
        <w:spacing w:before="80" w:after="80"/>
        <w:pBdr>
          <w:bottom w:val="single" w:sz="4" w:space="1" w:color="AAAAAA"/>
        </w:pBdr>
      </w:pPr>
    </w:p>
    <w:p>
      <w:pPr>
        <w:spacing w:before="0" w:after="80"/>
      </w:pP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Поздравляю!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Благодарю за доверие.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Я рада приветствовать Вас на Вашей программе коррекции веса и здоровья.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Моя цель — помочь Вам справиться с Вашей проблемой и научиться осознанно управлять своим здоровьем.</w:t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</w:r>
    </w:p>
    <w:p>
      <w:pPr>
        <w:spacing w:before="0" w:after="40"/>
      </w:pPr>
      <w:r>
        <w:rPr>
          <w:rFonts w:ascii="Arial" w:hAnsi="Arial"/>
          <w:i/>
          <w:color w:val="2E74B5"/>
          <w:sz w:val="22"/>
        </w:rPr>
        <w:t>С заботой и верой в Вас, ваш Health-coach Anna Soloviova и команда проекта WELLNESS CODE by Anna Soloviova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