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i w:val="0"/>
          <w:sz w:val="26"/>
          <w:u w:val="none"/>
        </w:rPr>
        <w:t>Заключення по тестуванню / Заключение по тестированию</w:t>
      </w:r>
    </w:p>
    <w:p>
      <w:pPr>
        <w:spacing w:before="0" w:after="200"/>
        <w:jc w:val="right"/>
      </w:pPr>
      <w:r>
        <w:rPr>
          <w:rFonts w:ascii="Arial" w:hAnsi="Arial"/>
          <w:b w:val="0"/>
          <w:i w:val="0"/>
          <w:sz w:val="22"/>
          <w:u w:val="none"/>
        </w:rPr>
        <w:t>06.06.2026</w:t>
      </w:r>
    </w:p>
    <w:p>
      <w:pPr>
        <w:spacing w:after="280"/>
      </w:pPr>
      <w:r>
        <w:rPr>
          <w:rFonts w:ascii="Arial" w:hAnsi="Arial"/>
          <w:b/>
          <w:sz w:val="22"/>
        </w:rPr>
        <w:t>Лобель Илана, 19.12.1947</w:t>
      </w:r>
      <w:r>
        <w:rPr>
          <w:rFonts w:ascii="Arial" w:hAnsi="Arial"/>
        </w:rPr>
        <w:br/>
        <w:t>+972543939238</w:t>
      </w:r>
    </w:p>
    <w:p>
      <w:pPr>
        <w:spacing w:before="160" w:after="80"/>
      </w:pPr>
      <w:r>
        <w:rPr>
          <w:rFonts w:ascii="Arial" w:hAnsi="Arial"/>
          <w:b/>
          <w:i/>
          <w:sz w:val="22"/>
          <w:shd w:val="clear" w:color="auto" w:fill="F4B942"/>
        </w:rPr>
        <w:t>Выявленные нарушения:</w:t>
      </w:r>
    </w:p>
    <w:p>
      <w:pPr>
        <w:spacing w:before="200" w:after="40"/>
      </w:pPr>
      <w:r>
        <w:rPr>
          <w:rFonts w:ascii="Arial" w:hAnsi="Arial"/>
          <w:b/>
          <w:sz w:val="22"/>
        </w:rPr>
        <w:t>НЕРВНАЯ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Напряжение нервной системы 1-й степени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снижения уровня мелатонина</w:t>
      </w:r>
    </w:p>
    <w:p>
      <w:pPr>
        <w:spacing w:before="200" w:after="40"/>
      </w:pPr>
      <w:r>
        <w:rPr>
          <w:rFonts w:ascii="Arial" w:hAnsi="Arial"/>
          <w:b/>
          <w:sz w:val="22"/>
        </w:rPr>
        <w:t>ОПОРНО-ДВИГАТЕЛЬНЫЙ АППАРАТ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напряжения в области 1-2 шейных позвонков,</w:t>
      </w:r>
      <w:r>
        <w:rPr>
          <w:rFonts w:ascii="Arial" w:hAnsi="Arial"/>
          <w:sz w:val="22"/>
        </w:rPr>
        <w:t xml:space="preserve"> защемление позвоночных артерий со склонностью к скачкам артериального давления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грыжи в поясничном отделе позвоночника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выраженного остеохондроза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смещения межпозвоночных дисков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кифоза в шейном и грудном отделе позвоночника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нарушения осанки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изменения свода стопы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воспаления мелких суставов</w:t>
      </w:r>
      <w:r>
        <w:rPr>
          <w:rFonts w:ascii="Arial" w:hAnsi="Arial"/>
          <w:i/>
          <w:sz w:val="22"/>
        </w:rPr>
        <w:t xml:space="preserve"> (подагра — под вопросом)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остеопороза</w:t>
      </w:r>
    </w:p>
    <w:p>
      <w:pPr>
        <w:spacing w:before="200" w:after="40"/>
      </w:pPr>
      <w:r>
        <w:rPr>
          <w:rFonts w:ascii="Arial" w:hAnsi="Arial"/>
          <w:b/>
          <w:sz w:val="22"/>
        </w:rPr>
        <w:t>СЕРДЕЧНО-СОСУДИСТАЯ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выраженного атеросклероза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липидемии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склонности к повышению артериального давления и тахикардии</w:t>
      </w:r>
      <w:r>
        <w:rPr>
          <w:rFonts w:ascii="Arial" w:hAnsi="Arial"/>
          <w:sz w:val="22"/>
        </w:rPr>
        <w:t xml:space="preserve"> (учащенному сердцебиению)</w:t>
      </w:r>
    </w:p>
    <w:p>
      <w:pPr>
        <w:spacing w:before="200" w:after="40"/>
      </w:pPr>
      <w:r>
        <w:rPr>
          <w:rFonts w:ascii="Arial" w:hAnsi="Arial"/>
          <w:b/>
          <w:sz w:val="22"/>
        </w:rPr>
        <w:t>ПИЩЕВАРИТЕЛЬНАЯ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жировой инфильтрации печени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хронического холецистита со склонностью к камнеобразованию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сужения желчевыводящих путей по гипокинетическому типу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недостаточности пищеварения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избыточного процесса брожения в толстом кишечнике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изменения кислотности желудочного сока</w:t>
      </w:r>
    </w:p>
    <w:p>
      <w:pPr>
        <w:spacing w:before="200" w:after="40"/>
      </w:pPr>
      <w:r>
        <w:rPr>
          <w:rFonts w:ascii="Arial" w:hAnsi="Arial"/>
          <w:b/>
          <w:sz w:val="22"/>
        </w:rPr>
        <w:t>ЭНДОКРИННАЯ И РЕПРОДУКТИВНАЯ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выраженных климактерических изменений в яичниках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Выраженная гипоэстрогенемия</w:t>
      </w:r>
      <w:r>
        <w:rPr>
          <w:rFonts w:ascii="Arial" w:hAnsi="Arial"/>
          <w:sz w:val="22"/>
        </w:rPr>
        <w:t xml:space="preserve"> (снижение женского гормона и остеопороза)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нарушения глюкокортикоидной функции яичников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нарушения обмена веществ</w:t>
      </w:r>
    </w:p>
    <w:p>
      <w:pPr>
        <w:spacing w:before="200" w:after="40"/>
      </w:pPr>
      <w:r>
        <w:rPr>
          <w:rFonts w:ascii="Arial" w:hAnsi="Arial"/>
          <w:b/>
          <w:sz w:val="22"/>
        </w:rPr>
        <w:t>МОЧЕВЫДЕЛИТЕЛЬНАЯ СИСТЕМА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нарушения сократительной функции / тонуса мочевого пузыря</w:t>
      </w:r>
    </w:p>
    <w:p>
      <w:pPr>
        <w:spacing w:before="200" w:after="40"/>
      </w:pPr>
      <w:r>
        <w:rPr>
          <w:rFonts w:ascii="Arial" w:hAnsi="Arial"/>
          <w:b/>
          <w:sz w:val="22"/>
        </w:rPr>
        <w:t>ОРГАНЫ ЗРЕНИЯ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снижения остроты зрения, повышения внутриглазного давления, помутнения хрусталика правого глаза</w:t>
      </w:r>
    </w:p>
    <w:p>
      <w:pPr>
        <w:spacing w:before="200" w:after="40"/>
      </w:pPr>
      <w:r>
        <w:rPr>
          <w:rFonts w:ascii="Arial" w:hAnsi="Arial"/>
          <w:b/>
          <w:sz w:val="22"/>
        </w:rPr>
        <w:t>ИММУННАЯ СИСТЕМА И ИНФЕКЦИИ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изменений лимфатических узлов средостения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хронического тонзиллита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Папилломавирус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Герпес 2-го, 3-го, 7-го типа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Паразитоз</w:t>
      </w:r>
    </w:p>
    <w:p>
      <w:pPr>
        <w:spacing w:before="200" w:after="40"/>
      </w:pPr>
      <w:r>
        <w:rPr>
          <w:rFonts w:ascii="Arial" w:hAnsi="Arial"/>
          <w:b/>
          <w:sz w:val="22"/>
        </w:rPr>
        <w:t>ДЕФИЦИТЫ ПИТАТЕЛЬНЫХ ВЕЩЕСТВ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глубокого дефицита всех витаминов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дефицита витамина D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дефицита кальция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дефицита минералов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дефицита аминокислот:</w:t>
      </w:r>
      <w:r>
        <w:rPr>
          <w:rFonts w:ascii="Arial" w:hAnsi="Arial"/>
          <w:sz w:val="22"/>
        </w:rPr>
        <w:t xml:space="preserve"> цистина, глицина, карнитина, глутаминовой кислоты, таурина, лизина, триптофана, фенилаланина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интоксикации микотоксинами</w:t>
      </w:r>
    </w:p>
    <w:p>
      <w:pPr>
        <w:spacing w:before="200" w:after="40"/>
      </w:pPr>
      <w:r>
        <w:rPr>
          <w:rFonts w:ascii="Arial" w:hAnsi="Arial"/>
          <w:b/>
          <w:sz w:val="22"/>
        </w:rPr>
        <w:t>ПИЩЕВАЯ НЕПЕРЕНОСИМОСТЬ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Признаки непереносимости:</w:t>
      </w:r>
      <w:r>
        <w:rPr>
          <w:rFonts w:ascii="Arial" w:hAnsi="Arial"/>
          <w:sz w:val="22"/>
        </w:rPr>
        <w:t xml:space="preserve"> дрожжей, риса, глютена, злаковых, домашней пыли, кофе, чая, шоколада и какао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Непереносимость листовых и зелёных овощей и фруктов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before="160" w:after="80"/>
      </w:pPr>
      <w:r>
        <w:rPr>
          <w:rFonts w:ascii="Arial" w:hAnsi="Arial"/>
          <w:b/>
          <w:i/>
          <w:sz w:val="22"/>
          <w:shd w:val="clear" w:color="auto" w:fill="F4B942"/>
        </w:rPr>
        <w:t>Режим: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Активний рух</w:t>
      </w:r>
      <w:r>
        <w:rPr>
          <w:rFonts w:ascii="Arial" w:hAnsi="Arial"/>
          <w:sz w:val="22"/>
        </w:rPr>
        <w:t xml:space="preserve"> — покращує кровообіг, обмін речовин і допомагає підтримувати нормальну вагу.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Уникати переохолодження</w:t>
      </w:r>
      <w:r>
        <w:rPr>
          <w:rFonts w:ascii="Arial" w:hAnsi="Arial"/>
          <w:sz w:val="22"/>
        </w:rPr>
        <w:t xml:space="preserve"> — холод може знижувати імунітет і погіршувати роботу організму.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Уникати перегріву</w:t>
      </w:r>
      <w:r>
        <w:rPr>
          <w:rFonts w:ascii="Arial" w:hAnsi="Arial"/>
          <w:sz w:val="22"/>
        </w:rPr>
        <w:t xml:space="preserve"> — перегрів створює навантаження на серце та може призводити до зневоднення.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Сон 7–8 годин</w:t>
      </w:r>
      <w:r>
        <w:rPr>
          <w:rFonts w:ascii="Arial" w:hAnsi="Arial"/>
          <w:sz w:val="22"/>
        </w:rPr>
        <w:t xml:space="preserve"> — необхідний для відновлення організму та нормальної роботи нервової системи.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Відбій о 22:00 (максимум до 23:00)</w:t>
      </w:r>
      <w:r>
        <w:rPr>
          <w:rFonts w:ascii="Arial" w:hAnsi="Arial"/>
          <w:sz w:val="22"/>
        </w:rPr>
        <w:t xml:space="preserve"> — ранній сон допомагає нормалізувати гормональний баланс і покращує відновлення організму.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before="160" w:after="80"/>
      </w:pPr>
      <w:r>
        <w:rPr>
          <w:rFonts w:ascii="Arial" w:hAnsi="Arial"/>
          <w:b/>
          <w:i/>
          <w:sz w:val="22"/>
          <w:shd w:val="clear" w:color="auto" w:fill="9DC3E6"/>
        </w:rPr>
        <w:t>Модифікація способу життя: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Знизити масу тіла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Зниження ваги допомагає зменшити навантаження на серце, суглоби, покращує обмін речовин і знижує рівень запалення.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Зменшити обхват талії до 78 см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Контроль талії важливий для зменшення вісцерального жиру (жиру навколо внутрішніх органів), який підвищує ризик метаболічних і гормональних порушень.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Дихальні вправи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На рахунок 1–2–3 — повільний вдих, надуваємо живіт.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На рахунок 1–2–3–4–5–6 — повільний видих, втягуємо живіт під ребра.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Виконувати 10–15 разів.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Вправа покращує роботу діафрагми, активує м'язи живота, покращує насичення організму киснем і знижує рівень стресу.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Тренування бодіфлекс по 30 хвилин на день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Виконувати вранці натщесерце або через 2,5–3 години після їжі.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Такі тренування активізують обмін речовин, зміцнюють м'язи та сприяють зменшенню об'ємів тіла.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Ходьба швидким кроком не менше 60 хвилин на день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Покращує роботу серцево-судинної системи, допомагає спалювати калорії та підтримує загальний рівень фізичної активності.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Контрольні вимірювання вранці натщесерце 1 раз на тиждень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Регулярні вимірювання ваги та об'ємів допомагають відстежувати прогрес і коригувати програму за потреби.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Робота зі стресом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Зниження рівня стресу важливе для нормалізації гормонального фону, зменшення переїдання та покращення загального самопочуття.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Можна використовувати дихальні практики, прогулянки, відпочинок і техніки розслаблення.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before="160" w:after="80"/>
      </w:pPr>
      <w:r>
        <w:rPr>
          <w:rFonts w:ascii="Arial" w:hAnsi="Arial"/>
          <w:b/>
          <w:i/>
          <w:sz w:val="22"/>
          <w:shd w:val="clear" w:color="auto" w:fill="F4B942"/>
        </w:rPr>
        <w:t>Режим харчування: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Дробне харчування (4–5 разів на добу)</w:t>
      </w:r>
      <w:r>
        <w:rPr>
          <w:rFonts w:ascii="Arial" w:hAnsi="Arial"/>
          <w:sz w:val="22"/>
        </w:rPr>
        <w:t xml:space="preserve"> — допомагає підтримувати стабільний рівень енергії та запобігає сильному відчуттю голоду і переїданню.</w:t>
      </w:r>
    </w:p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Вода 1,5–2 л на день</w:t>
      </w:r>
      <w:r>
        <w:rPr>
          <w:rFonts w:ascii="Arial" w:hAnsi="Arial"/>
          <w:sz w:val="22"/>
        </w:rPr>
        <w:t xml:space="preserve"> — підтримує обмін речовин і нормальну роботу організму.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Вранці натщесерце — склянка теплої води з лимоном для м'якого запуску травлення.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Перед кожним прийомом їжі — склянка теплої води для покращення роботи шлунка.</w:t>
      </w:r>
    </w:p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Розмір порції 250–300 г</w:t>
      </w:r>
      <w:r>
        <w:rPr>
          <w:rFonts w:ascii="Arial" w:hAnsi="Arial"/>
          <w:sz w:val="22"/>
        </w:rPr>
        <w:t xml:space="preserve"> (для перших страв до 350 г, перекуси 100–150 г) — допомагає контролювати кількість їжі та не перевантажувати шлунок.</w:t>
      </w:r>
    </w:p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Ретельно пережовувати їжу до рідкого стану</w:t>
      </w:r>
      <w:r>
        <w:rPr>
          <w:rFonts w:ascii="Arial" w:hAnsi="Arial"/>
          <w:sz w:val="22"/>
        </w:rPr>
        <w:t xml:space="preserve"> — це полегшує травлення та покращує засвоєння поживних речовин.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Прийом їжі має тривати 15–25 хвилин, щоб організм встиг відчути насичення. (перекус якщо м'який або рідкий 5–10 хвилин).</w:t>
      </w:r>
    </w:p>
    <w:p>
      <w:pPr>
        <w:spacing w:before="0" w:after="40"/>
      </w:pP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Проміжки між прийомами їжі близько 3 годин</w:t>
      </w:r>
      <w:r>
        <w:rPr>
          <w:rFonts w:ascii="Arial" w:hAnsi="Arial"/>
          <w:sz w:val="22"/>
        </w:rPr>
        <w:t xml:space="preserve"> — допомагають підтримувати стабільний рівень цукру в крові, рівень енергії та запобігають переїданню.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before="160" w:after="80"/>
      </w:pPr>
      <w:r>
        <w:rPr>
          <w:rFonts w:ascii="Arial" w:hAnsi="Arial"/>
          <w:b/>
          <w:i/>
          <w:sz w:val="22"/>
          <w:shd w:val="clear" w:color="auto" w:fill="A8D08D"/>
        </w:rPr>
        <w:t>Харчування: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  <w:u w:val="none"/>
        </w:rPr>
        <w:t>Обмежити до 100 г на тиждень: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Продукти з глютеном</w:t>
      </w:r>
      <w:r>
        <w:rPr>
          <w:rFonts w:ascii="Arial" w:hAnsi="Arial"/>
          <w:sz w:val="22"/>
        </w:rPr>
        <w:t xml:space="preserve"> (пшениця, жито, вівсянка, манка, булгур, перловка, полба, макарони, випічка) — можуть перевантажувати травлення та провокувати запальні реакції.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Молоко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М'ясо: свинина, телятина, баранина</w:t>
      </w:r>
      <w:r>
        <w:rPr>
          <w:rFonts w:ascii="Arial" w:hAnsi="Arial"/>
          <w:sz w:val="22"/>
        </w:rPr>
        <w:t xml:space="preserve"> — важко перетравлюється та перевантажує травну систему.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Продукти з харчовими добавками</w:t>
      </w:r>
      <w:r>
        <w:rPr>
          <w:rFonts w:ascii="Arial" w:hAnsi="Arial"/>
          <w:sz w:val="22"/>
        </w:rPr>
        <w:t xml:space="preserve"> — негативно впливають на обмін речовин і мікрофлору кишечника.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Газовані та солодкі напої</w:t>
      </w:r>
      <w:r>
        <w:rPr>
          <w:rFonts w:ascii="Arial" w:hAnsi="Arial"/>
          <w:sz w:val="22"/>
        </w:rPr>
        <w:t xml:space="preserve"> — містять багато цукру та порушують обмін речовин.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Солодощі</w:t>
      </w:r>
      <w:r>
        <w:rPr>
          <w:rFonts w:ascii="Arial" w:hAnsi="Arial"/>
          <w:sz w:val="22"/>
        </w:rPr>
        <w:t xml:space="preserve"> — викликають різкі коливання рівня цукру в крові та сприяють набору ваги.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Продукти з дріжджами</w:t>
      </w:r>
      <w:r>
        <w:rPr>
          <w:rFonts w:ascii="Arial" w:hAnsi="Arial"/>
          <w:sz w:val="22"/>
        </w:rPr>
        <w:t xml:space="preserve"> (випічка, пиво, квас) — можуть спричиняти бродіння в кишечнику.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Алкоголь</w:t>
      </w:r>
      <w:r>
        <w:rPr>
          <w:rFonts w:ascii="Arial" w:hAnsi="Arial"/>
          <w:sz w:val="22"/>
        </w:rPr>
        <w:t xml:space="preserve"> — перевантажує печінку та порушує обмін речовин.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Оцет, крім яблучного</w:t>
      </w:r>
      <w:r>
        <w:rPr>
          <w:rFonts w:ascii="Arial" w:hAnsi="Arial"/>
          <w:sz w:val="22"/>
        </w:rPr>
        <w:t xml:space="preserve"> — може подразнювати слизову шлунка.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Свіжа випічка та варене тісто</w:t>
      </w:r>
      <w:r>
        <w:rPr>
          <w:rFonts w:ascii="Arial" w:hAnsi="Arial"/>
          <w:sz w:val="22"/>
        </w:rPr>
        <w:t xml:space="preserve"> — важко перетравлюються та викликають бродіння.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  <w:u w:val="none"/>
        </w:rPr>
        <w:t>Обмежити способи приготування: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Смажене</w:t>
      </w:r>
      <w:r>
        <w:rPr>
          <w:rFonts w:ascii="Arial" w:hAnsi="Arial"/>
          <w:sz w:val="22"/>
        </w:rPr>
        <w:t xml:space="preserve"> — містить надлишок жирів і погіршує травлення.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Гостре</w:t>
      </w:r>
      <w:r>
        <w:rPr>
          <w:rFonts w:ascii="Arial" w:hAnsi="Arial"/>
          <w:sz w:val="22"/>
        </w:rPr>
        <w:t xml:space="preserve"> — подразнює слизову шлунка.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Копчене</w:t>
      </w:r>
      <w:r>
        <w:rPr>
          <w:rFonts w:ascii="Arial" w:hAnsi="Arial"/>
          <w:sz w:val="22"/>
        </w:rPr>
        <w:t xml:space="preserve"> — містить шкідливі речовини та перевантажує печінку.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Консервоване</w:t>
      </w:r>
      <w:r>
        <w:rPr>
          <w:rFonts w:ascii="Arial" w:hAnsi="Arial"/>
          <w:sz w:val="22"/>
        </w:rPr>
        <w:t xml:space="preserve"> — містить багато солі та добавок.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Свіжа випічка</w:t>
      </w:r>
      <w:r>
        <w:rPr>
          <w:rFonts w:ascii="Arial" w:hAnsi="Arial"/>
          <w:sz w:val="22"/>
        </w:rPr>
        <w:t xml:space="preserve"> — викликає бродіння та важкість у шлунку.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  <w:u w:val="none"/>
        </w:rPr>
        <w:t>Рекомендується вживати як основний раціон: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Овочі та зелень 250–300 г на день</w:t>
      </w:r>
      <w:r>
        <w:rPr>
          <w:rFonts w:ascii="Arial" w:hAnsi="Arial"/>
          <w:sz w:val="22"/>
        </w:rPr>
        <w:t xml:space="preserve"> — джерело клітковини, вітамінів і підтримка роботи кишечника.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Яйця 2 шт на день</w:t>
      </w:r>
      <w:r>
        <w:rPr>
          <w:rFonts w:ascii="Arial" w:hAnsi="Arial"/>
          <w:sz w:val="22"/>
        </w:rPr>
        <w:t xml:space="preserve"> — джерело повноцінного білка та корисних жирів.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Краще вранці, з рідким жовтком.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Ягоди до 100 г на день</w:t>
      </w:r>
      <w:r>
        <w:rPr>
          <w:rFonts w:ascii="Arial" w:hAnsi="Arial"/>
          <w:sz w:val="22"/>
        </w:rPr>
        <w:t xml:space="preserve"> — містять антиоксиданти та підтримують імунітет.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Фрукти 100–150 г</w:t>
      </w:r>
      <w:r>
        <w:rPr>
          <w:rFonts w:ascii="Arial" w:hAnsi="Arial"/>
          <w:sz w:val="22"/>
        </w:rPr>
        <w:t xml:space="preserve"> — джерело вітамінів і клітковини.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Краще до 16:00. Акцент на цитрусові, ананаси, грейпфрути, різнокольорові.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  <w:u w:val="none"/>
        </w:rPr>
        <w:t>Білкові продукти: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Птиця та кролик (курка, індичка)</w:t>
      </w:r>
      <w:r>
        <w:rPr>
          <w:rFonts w:ascii="Arial" w:hAnsi="Arial"/>
          <w:sz w:val="22"/>
        </w:rPr>
        <w:t xml:space="preserve"> — до 140–150 г за прийом, 3–4 рази на тиждень, бажано до 16:00.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Легко засвоюваний білок.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Нежирна телятина</w:t>
      </w:r>
      <w:r>
        <w:rPr>
          <w:rFonts w:ascii="Arial" w:hAnsi="Arial"/>
          <w:sz w:val="22"/>
        </w:rPr>
        <w:t xml:space="preserve"> — до 140 г, до 2 разів на тиждень.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Джерело заліза та білка.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Печінка (теляча, кролика, індички)</w:t>
      </w:r>
      <w:r>
        <w:rPr>
          <w:rFonts w:ascii="Arial" w:hAnsi="Arial"/>
          <w:sz w:val="22"/>
        </w:rPr>
        <w:t xml:space="preserve"> — до 140 г, 1–2 рази на тиждень.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Багата на залізо та вітаміни групи B.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  <w:u w:val="none"/>
        </w:rPr>
        <w:t>Молочні продукти: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сир до 40% жирності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сметана до 10%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йогурт безлактозний, кефір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вершкове масло 82%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масло ГХІ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Джерело корисних жирів і жиророзчинних вітамінів, а також покращує мікрофлору.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  <w:u w:val="none"/>
        </w:rPr>
        <w:t>Риба та морепродукти: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Жирна риба 1–2 рази на тиждень</w:t>
      </w:r>
      <w:r>
        <w:rPr>
          <w:rFonts w:ascii="Arial" w:hAnsi="Arial"/>
          <w:sz w:val="22"/>
        </w:rPr>
        <w:t xml:space="preserve"> (лосось, скумбрія, оселедець) — джерело омега-3.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Нежирна риба 4–5 разів на тиждень</w:t>
      </w:r>
      <w:r>
        <w:rPr>
          <w:rFonts w:ascii="Arial" w:hAnsi="Arial"/>
          <w:sz w:val="22"/>
        </w:rPr>
        <w:t xml:space="preserve"> (тріска, хек, судак) — легко засвоюваний білок.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Морепродукти 2–3 рази на тиждень</w:t>
      </w:r>
      <w:r>
        <w:rPr>
          <w:rFonts w:ascii="Arial" w:hAnsi="Arial"/>
          <w:sz w:val="22"/>
        </w:rPr>
        <w:t xml:space="preserve"> — джерело йоду, білка та мікроелементів.</w:t>
      </w:r>
    </w:p>
    <w:p>
      <w:pPr>
        <w:spacing w:before="160" w:after="40"/>
      </w:pPr>
      <w:r>
        <w:rPr>
          <w:rFonts w:ascii="Arial" w:hAnsi="Arial"/>
          <w:b/>
          <w:i w:val="0"/>
          <w:sz w:val="22"/>
          <w:u w:val="none"/>
        </w:rPr>
        <w:t>Додаткові продукти: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Бобові (квасоля, сочевиця, нут, соя)</w:t>
      </w:r>
      <w:r>
        <w:rPr>
          <w:rFonts w:ascii="Arial" w:hAnsi="Arial"/>
          <w:sz w:val="22"/>
        </w:rPr>
        <w:t xml:space="preserve"> — 100–130 г, 2–4 рази на тиждень.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Джерело рослинного білка та клітковини.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Гриби до 100 г</w:t>
      </w:r>
      <w:r>
        <w:rPr>
          <w:rFonts w:ascii="Arial" w:hAnsi="Arial"/>
          <w:sz w:val="22"/>
        </w:rPr>
        <w:t xml:space="preserve"> — 1–2 рази на тиждень до 16:00.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Містять білок, клітковину і мікроелементи.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Крупи 3–4 ст. л</w:t>
      </w:r>
      <w:r>
        <w:rPr>
          <w:rFonts w:ascii="Arial" w:hAnsi="Arial"/>
          <w:sz w:val="22"/>
        </w:rPr>
        <w:t xml:space="preserve"> — 4–5 разів на тиждень, краще вранці або в обід.</w:t>
      </w:r>
    </w:p>
    <w:p>
      <w:pPr>
        <w:pStyle w:val="ListBullet"/>
        <w:spacing w:before="0" w:after="60"/>
      </w:pPr>
      <w:r>
        <w:rPr>
          <w:rFonts w:ascii="Arial" w:hAnsi="Arial"/>
          <w:i/>
          <w:sz w:val="22"/>
        </w:rPr>
        <w:t>Підходять: гречка, бурий/дикий рис, кіноа, пшоно, сорго.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before="160" w:after="80"/>
      </w:pPr>
      <w:r>
        <w:rPr>
          <w:rFonts w:ascii="Arial" w:hAnsi="Arial"/>
          <w:b/>
          <w:i/>
          <w:sz w:val="22"/>
          <w:shd w:val="clear" w:color="auto" w:fill="F4B942"/>
        </w:rPr>
        <w:t>Меню:</w:t>
      </w:r>
    </w:p>
    <w:p>
      <w:pPr>
        <w:spacing w:before="80" w:after="40"/>
      </w:pPr>
      <w:r>
        <w:rPr>
          <w:rFonts w:ascii="Arial" w:hAnsi="Arial"/>
          <w:b/>
          <w:i w:val="0"/>
          <w:sz w:val="22"/>
          <w:u w:val="none"/>
        </w:rPr>
        <w:t>Сніданки: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Тост із чорного хліба з тунцем + гречка + вершкове масло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Омлет із 2 яєць + пшоно + тушкована морква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2 яйця пашот + кіноа + зелень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Тост із цільнозернового хліба + хумус + тушкований буряк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Омлет + бурий рис + масло ГХІ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Яйця некруто + гречка + огірок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Авокадо + гречка + тушкована капуста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Пшоняна каша з гарбузом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Картопля в мундирі + салат + слабосолена риба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Гречка з грибами + квашена капуста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Кабачково-морквяні оладки + сметана + моцарела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Омлет з овочами + бурий рис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  <w:u w:val="none"/>
        </w:rPr>
        <w:t>Перекуси: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Яблуко + сир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Ягоди + сметана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Банан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Грейпфрут + насіння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Йогурт + ягоди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Запечене яблуко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Сир брі + груша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Ананас або ківі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  <w:u w:val="none"/>
        </w:rPr>
        <w:t>Обіди: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Куряче філе + гречка + салат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Індичка + пшоно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Телятина + картопля + зелень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Печінка індички + гречка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Курка + бурий рис + салат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Квасоля + овочі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Сочевиця + капуста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Риба + картопля + салат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Тефтелі + пюре з цвітної капусти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Борщ + хліб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Скумбрія з овочами (або філе риби запечене)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Голубці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Суші 6–8 шт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Суп з куркою + 1 шматочок цільнозернового хліба або 2 хлібці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Лаваш з куркою і овочами з грецьким йогуртом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Салат з морепродуктами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  <w:u w:val="none"/>
        </w:rPr>
        <w:t>Полуденок: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Сир фета + овочі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Ягоди до 120 г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Яблуко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Запечена груша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Хумус + хлібець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Фрукти до 100 г</w:t>
      </w:r>
    </w:p>
    <w:p>
      <w:pPr>
        <w:spacing w:before="120" w:after="40"/>
      </w:pPr>
      <w:r>
        <w:rPr>
          <w:rFonts w:ascii="Arial" w:hAnsi="Arial"/>
          <w:b/>
          <w:i w:val="0"/>
          <w:sz w:val="22"/>
          <w:u w:val="none"/>
        </w:rPr>
        <w:t>Вечері: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Тріска + овочі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Хек + капуста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Судак + кабачки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Риба + буряк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Морепродукти + рагу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Борщ з квасолею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Рибні котлети + овочі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Суп з фрикадельками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Крем-суп зі шпинату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Овочеве рагу з куркою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Грецький салат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Вінегрет + сир фета 2/1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>Лосось + броколі або цвітна капуста на пару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before="160" w:after="80"/>
      </w:pPr>
      <w:r>
        <w:rPr>
          <w:rFonts w:ascii="Arial" w:hAnsi="Arial"/>
          <w:b/>
          <w:i/>
          <w:sz w:val="22"/>
          <w:shd w:val="clear" w:color="auto" w:fill="A8D08D"/>
        </w:rPr>
        <w:t>Схема корекції здоров'я: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Хітозан — </w:t>
      </w:r>
      <w:r>
        <w:rPr>
          <w:rFonts w:ascii="Arial" w:hAnsi="Arial"/>
          <w:sz w:val="22"/>
        </w:rPr>
        <w:t>по 2 к перед сном і 2 капсули натщесерце — 10 днів. Після по 1 к перед сном і зранку натщесерце.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Бісгліцинат магнію — </w:t>
      </w:r>
      <w:r>
        <w:rPr>
          <w:rFonts w:ascii="Arial" w:hAnsi="Arial"/>
          <w:sz w:val="22"/>
        </w:rPr>
        <w:t>по 500 мг зранку і перед сном — 20 днів. Після по 500 мг перед сном довгостроково.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Вітамін Д — </w:t>
      </w:r>
      <w:r>
        <w:rPr>
          <w:rFonts w:ascii="Arial" w:hAnsi="Arial"/>
          <w:sz w:val="22"/>
        </w:rPr>
        <w:t>по 4000 од — 2 тижні. Після по 2000 од. до червня включно.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Цинк — </w:t>
      </w:r>
      <w:r>
        <w:rPr>
          <w:rFonts w:ascii="Arial" w:hAnsi="Arial"/>
          <w:sz w:val="22"/>
        </w:rPr>
        <w:t>по 50 мг 2 рази в день. Курс 1 місяць.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Ашваганда — </w:t>
      </w:r>
      <w:r>
        <w:rPr>
          <w:rFonts w:ascii="Arial" w:hAnsi="Arial"/>
          <w:sz w:val="22"/>
        </w:rPr>
        <w:t>(по рекомендації виробника) — курс 3 місяці. (допомагає відновленню наднирників, допомагає адаптуватись до стресу)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Phithorin — </w:t>
      </w:r>
      <w:r>
        <w:rPr>
          <w:rFonts w:ascii="Arial" w:hAnsi="Arial"/>
          <w:sz w:val="22"/>
        </w:rPr>
        <w:t>по 1 к 2 рази в день і ввечері о 21–22:00 — 2 тижні, потім по 2 к 2 рази на день — 2,5 місяця.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МУВ Форевер — </w:t>
      </w:r>
      <w:r>
        <w:rPr>
          <w:rFonts w:ascii="Arial" w:hAnsi="Arial"/>
          <w:sz w:val="22"/>
        </w:rPr>
        <w:t>по 1 к 2 рази на день з їжею. Курс від 3 місяців. (для зменшення запалення в суглобах і відновлення руху та хрящів)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L-аргінін — </w:t>
      </w:r>
      <w:r>
        <w:rPr>
          <w:rFonts w:ascii="Arial" w:hAnsi="Arial"/>
          <w:sz w:val="22"/>
        </w:rPr>
        <w:t>по 1000 мг зранку з їжею. Курс 3 місяці (для покращення кровообігу і зниження тиску).</w:t>
      </w:r>
    </w:p>
    <w:p>
      <w:pPr>
        <w:pStyle w:val="ListBullet"/>
        <w:spacing w:before="0" w:after="60"/>
      </w:pPr>
      <w:r>
        <w:rPr>
          <w:rFonts w:ascii="Arial" w:hAnsi="Arial"/>
          <w:b/>
          <w:sz w:val="22"/>
        </w:rPr>
        <w:t xml:space="preserve">Рефлекшн — </w:t>
      </w:r>
      <w:r>
        <w:rPr>
          <w:rFonts w:ascii="Arial" w:hAnsi="Arial"/>
          <w:sz w:val="22"/>
        </w:rPr>
        <w:t>по 1 к зранку і перед сном. Курс 1 місяць (антистрес).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before="0" w:after="80"/>
      </w:pP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Вітаю! / Поздравляю!</w:t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Дякую за довіру. / Благодарю за доверие.</w:t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Я рада вітати Вас на Вашій програмі корекції ваги та здоров'я.</w:t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Моя ціль допомогти вам впоратись з вашою проблемою та навчитись свідомо керувати своїм здоров'ям.</w:t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</w:r>
    </w:p>
    <w:p>
      <w:pPr>
        <w:spacing w:before="0" w:after="40"/>
      </w:pPr>
      <w:r>
        <w:rPr>
          <w:rFonts w:ascii="Arial" w:hAnsi="Arial"/>
          <w:i/>
          <w:color w:val="2E74B5"/>
          <w:sz w:val="22"/>
        </w:rPr>
        <w:t>З турботою і вірою у Вас, ваш Health-coach Anna Soloviova та команда проєкту WELLNESS CODE by Anna Soloviova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