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i w:val="0"/>
          <w:sz w:val="28"/>
        </w:rPr>
        <w:t>Заключение по тестированию</w:t>
      </w:r>
    </w:p>
    <w:p>
      <w:pPr>
        <w:spacing w:before="0" w:after="120"/>
        <w:jc w:val="right"/>
      </w:pPr>
      <w:r>
        <w:rPr>
          <w:rFonts w:ascii="Arial" w:hAnsi="Arial"/>
          <w:b w:val="0"/>
          <w:i w:val="0"/>
          <w:sz w:val="22"/>
        </w:rPr>
        <w:t>28.06.2026</w:t>
      </w:r>
    </w:p>
    <w:p>
      <w:pPr>
        <w:spacing w:after="80"/>
      </w:pPr>
      <w:r>
        <w:rPr>
          <w:rFonts w:ascii="Arial" w:hAnsi="Arial"/>
          <w:b/>
          <w:sz w:val="22"/>
        </w:rPr>
        <w:t>Пушкин Вадим, 23.04.2008</w:t>
      </w:r>
    </w:p>
    <w:p>
      <w:pPr>
        <w:spacing w:before="200" w:after="120"/>
      </w:pPr>
      <w:r>
        <w:rPr>
          <w:rFonts w:ascii="Arial" w:hAnsi="Arial"/>
          <w:b/>
          <w:i/>
          <w:sz w:val="22"/>
          <w:shd w:val="clear" w:color="auto" w:fill="F4B942"/>
        </w:rPr>
        <w:t>Выявленные нарушения:</w:t>
      </w:r>
    </w:p>
    <w:p>
      <w:pPr>
        <w:spacing w:before="200" w:after="60"/>
      </w:pPr>
      <w:r>
        <w:rPr>
          <w:rFonts w:ascii="Arial" w:hAnsi="Arial"/>
          <w:b/>
          <w:sz w:val="22"/>
        </w:rPr>
        <w:t>НЕРВНАЯ СИСТЕМА И ГОЛОВА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умеренного сдавления в области затылка со сдавлением ствола головного мозга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нарушения лимфотока в области головы и шеи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нарушения адаптации на экопсихологический стресс</w:t>
      </w:r>
    </w:p>
    <w:p>
      <w:pPr>
        <w:spacing w:before="200" w:after="60"/>
      </w:pPr>
      <w:r>
        <w:rPr>
          <w:rFonts w:ascii="Arial" w:hAnsi="Arial"/>
          <w:b/>
          <w:sz w:val="22"/>
        </w:rPr>
        <w:t>ОПОРНО-ДВИГАТЕЛЬНЫЙ АППАРАТ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нарушения положения 1-го и 2-го шейных позвонков с умеренным защемлением позвоночных артерий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нарушения положения 6-го шейного позвонка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нарушения положения 5-го грудного позвонка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развивающейся протрузии в грудном отделе позвоночника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дисфункции крестцово-подвздошного сочленения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нарушения конфигурации стопы (возможно, плоскостопие)</w:t>
      </w:r>
    </w:p>
    <w:p>
      <w:pPr>
        <w:spacing w:before="200" w:after="60"/>
      </w:pPr>
      <w:r>
        <w:rPr>
          <w:rFonts w:ascii="Arial" w:hAnsi="Arial"/>
          <w:b/>
          <w:sz w:val="22"/>
        </w:rPr>
        <w:t>ЛОР-ОРГАНЫ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хронического тонзиллита</w:t>
      </w:r>
    </w:p>
    <w:p>
      <w:pPr>
        <w:spacing w:before="200" w:after="60"/>
      </w:pPr>
      <w:r>
        <w:rPr>
          <w:rFonts w:ascii="Arial" w:hAnsi="Arial"/>
          <w:b/>
          <w:sz w:val="22"/>
        </w:rPr>
        <w:t>ОРГАНЫ ЗРЕНИЯ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утомления зрительного анализатора (больше справа)</w:t>
      </w:r>
    </w:p>
    <w:p>
      <w:pPr>
        <w:spacing w:before="200" w:after="60"/>
      </w:pPr>
      <w:r>
        <w:rPr>
          <w:rFonts w:ascii="Arial" w:hAnsi="Arial"/>
          <w:b/>
          <w:sz w:val="22"/>
        </w:rPr>
        <w:t>МОЧЕПОЛОВАЯ СИСТЕМА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нарушения кровообращения в области простаты</w:t>
      </w:r>
    </w:p>
    <w:p>
      <w:pPr>
        <w:spacing w:before="200" w:after="60"/>
      </w:pPr>
      <w:r>
        <w:rPr>
          <w:rFonts w:ascii="Arial" w:hAnsi="Arial"/>
          <w:b/>
          <w:sz w:val="22"/>
        </w:rPr>
        <w:t>ПИЩЕВАРИТЕЛЬНАЯ СИСТЕМА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хронического гастродуоденита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процесса брожения в тонком кишечнике (СИБР)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нарушения выработки и оттока желчи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раздражения ткани поджелудочной железы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хронического воспаления в клетках печени</w:t>
      </w:r>
    </w:p>
    <w:p>
      <w:pPr>
        <w:spacing w:before="200" w:after="60"/>
      </w:pPr>
      <w:r>
        <w:rPr>
          <w:rFonts w:ascii="Arial" w:hAnsi="Arial"/>
          <w:b/>
          <w:sz w:val="22"/>
        </w:rPr>
        <w:t>ЭНДОКРИННАЯ СИСТЕМА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снижения функции щитовидной железы, АИТ под вопросом</w:t>
      </w:r>
    </w:p>
    <w:p>
      <w:pPr>
        <w:spacing w:before="200" w:after="60"/>
      </w:pPr>
      <w:r>
        <w:rPr>
          <w:rFonts w:ascii="Arial" w:hAnsi="Arial"/>
          <w:b/>
          <w:sz w:val="22"/>
        </w:rPr>
        <w:t>КОЖА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склонности к аллергическому поражению кожи</w:t>
      </w:r>
    </w:p>
    <w:p>
      <w:pPr>
        <w:spacing w:before="200" w:after="60"/>
      </w:pPr>
      <w:r>
        <w:rPr>
          <w:rFonts w:ascii="Arial" w:hAnsi="Arial"/>
          <w:b/>
          <w:sz w:val="22"/>
        </w:rPr>
        <w:t>ОБМЕН ВЕЩЕСТВ И ДЕФИЦИТЫ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дефицита кальция и других минералов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нарушения водно-электролитного баланса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Дефицит витаминов: A, D, B1, B2, B5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Дефицит аминокислот: аланин, аспарагиновая кислота, глютаминовая кислота, пролин, серин, глутатион, таурин, цитрулин, лейцин</w:t>
      </w:r>
    </w:p>
    <w:p>
      <w:pPr>
        <w:spacing w:before="200" w:after="60"/>
      </w:pPr>
      <w:r>
        <w:rPr>
          <w:rFonts w:ascii="Arial" w:hAnsi="Arial"/>
          <w:b/>
          <w:sz w:val="22"/>
        </w:rPr>
        <w:t>ИНФЕКЦИИ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кандидоза в носовых проходах, уретре и тонком кишечнике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активности вируса герпеса 2-го, 3-го и 7-го типов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цитомегаловируса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Признаки энтеробиоза</w:t>
      </w:r>
    </w:p>
    <w:p>
      <w:pPr>
        <w:spacing w:before="200" w:after="60"/>
      </w:pPr>
      <w:r>
        <w:rPr>
          <w:rFonts w:ascii="Arial" w:hAnsi="Arial"/>
          <w:b/>
          <w:sz w:val="22"/>
        </w:rPr>
        <w:t>НЕПЕРЕНОСИМОСТИ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Жиры животного происхождения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Дрожжи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Кофе, чай, шоколад, какао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Продукты, содержащие глютен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Свежие яблоки и фрукты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Ароматические летучие вещества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Домашняя пыль</w:t>
      </w:r>
    </w:p>
    <w:p>
      <w:pPr>
        <w:spacing w:before="200" w:after="120"/>
      </w:pPr>
      <w:r>
        <w:rPr>
          <w:rFonts w:ascii="Arial" w:hAnsi="Arial"/>
          <w:b/>
          <w:i/>
          <w:sz w:val="22"/>
          <w:shd w:val="clear" w:color="auto" w:fill="F4B942"/>
        </w:rPr>
        <w:t>Рекомендации:</w:t>
      </w:r>
    </w:p>
    <w:p>
      <w:pPr>
        <w:spacing w:before="200" w:after="120"/>
      </w:pPr>
      <w:r>
        <w:rPr>
          <w:rFonts w:ascii="Arial" w:hAnsi="Arial"/>
          <w:b/>
          <w:i/>
          <w:sz w:val="22"/>
          <w:shd w:val="clear" w:color="auto" w:fill="F4B942"/>
        </w:rPr>
        <w:t>Режим: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Сон — 7–8 часов. Отбой в 22:00, максимум до 23:00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Беречь шею от сквозняков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Избегать переохлаждений и резких перепадов температуры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Контрольное взвешивание утром натощак ежедневно</w:t>
      </w:r>
    </w:p>
    <w:p>
      <w:pPr>
        <w:spacing w:before="200" w:after="120"/>
      </w:pPr>
      <w:r>
        <w:rPr>
          <w:rFonts w:ascii="Arial" w:hAnsi="Arial"/>
          <w:b/>
          <w:i/>
          <w:sz w:val="22"/>
          <w:shd w:val="clear" w:color="auto" w:fill="9DC3E6"/>
        </w:rPr>
        <w:t>Модификация образа жизни: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Дыхательные упражнения — утром и перед сном: на 1,2,3 медленный вдох носом, надуваем живот; на 1,2,3,4,5,6 выдох ртом, живот подтягиваем под рёбра. 10–15 повторов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Лимфодренажная гимнастика ежедневно сразу после сна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Массаж шейно-воротниковой зоны, работа с массажными мячами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Прогулки — от 60 минут в день на свежем воздухе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Работа со стрессом — медитация, дыхательные практики, психологическая поддержка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Консультация остеопата — коррекция положения С1–С2, 5-го грудного позвонка и крестцово-подвздошного сочленения. Рекомендовано 1–2 сеанса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Консультация ортопеда-травматолога — относительно плоскостопия, подбор стелек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Консультация эндокринолога — щитовидная железа (УЗИ, ТТГ, Т3, Т4, АТ-ТПО)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Консультация ЛОР-врача — хронический тонзиллит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Консультация офтальмолога — нагрузка на зрение</w:t>
      </w:r>
    </w:p>
    <w:p>
      <w:pPr>
        <w:spacing w:before="200" w:after="120"/>
      </w:pPr>
      <w:r>
        <w:rPr>
          <w:rFonts w:ascii="Arial" w:hAnsi="Arial"/>
          <w:b/>
          <w:i/>
          <w:sz w:val="22"/>
          <w:shd w:val="clear" w:color="auto" w:fill="F4B942"/>
        </w:rPr>
        <w:t>Режим питания: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Питаться 4–5 раз в сутки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Вода — 1,5–2 л в день, тёплая или комнатной температуры. Утром натощак — стакан тёплой воды с лимоном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Порция — 250–300 г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Тщательно пережёвывать пищу до жидкого состояния — приём пищи должен занимать 20–25 минут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Промежутки между приёмами пищи — 3–3,5 часа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Ограничить на 1 месяц: дрожжи, кофе, чай, шоколад, глютен, жиры животного происхождения, свежие фрукты и яблоки</w:t>
      </w:r>
    </w:p>
    <w:p>
      <w:pPr>
        <w:spacing w:before="200" w:after="120"/>
      </w:pPr>
      <w:r>
        <w:rPr>
          <w:rFonts w:ascii="Arial" w:hAnsi="Arial"/>
          <w:b/>
          <w:i/>
          <w:sz w:val="22"/>
          <w:shd w:val="clear" w:color="auto" w:fill="A8D08D"/>
        </w:rPr>
        <w:t>Питание:</w:t>
      </w:r>
    </w:p>
    <w:p>
      <w:pPr>
        <w:spacing w:before="200" w:after="60"/>
      </w:pPr>
      <w:r>
        <w:rPr>
          <w:rFonts w:ascii="Arial" w:hAnsi="Arial"/>
          <w:b/>
          <w:sz w:val="22"/>
        </w:rPr>
        <w:t>АКЦЕНТ В РАЦИОНЕ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Белки — яйца (1–2 в день), нежирная рыба, мясо птицы и кролика, длинные бульоны на втором мясном или первом рыбном бульоне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Пищевые волокна (клетчатка) — овощи и зелень 250–300 г в день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Полезные жиры — оливковое масло extra virgin, льняное масло, конопляное масло, сливочное масло 82%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Крупы без глютена — гречка, дикий/бурый рис, киноа, пшено (3–4 ст. л. до 15:00)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Ягоды — 100–150 г в день (до 16:00)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Тёплые супы, паровые и тушёные блюда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Кисломолочные продукты (при переносимости): натуральный йогурт без добавок, кефир</w:t>
      </w:r>
    </w:p>
    <w:p>
      <w:pPr>
        <w:spacing w:before="200" w:after="60"/>
      </w:pPr>
      <w:r>
        <w:rPr>
          <w:rFonts w:ascii="Arial" w:hAnsi="Arial"/>
          <w:b/>
          <w:sz w:val="22"/>
        </w:rPr>
        <w:t>ОГРАНИЧИТЬ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Продукты с дрожжами: выпечка, пиво, квас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Кофе, чёрный чай, шоколад, какао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Продукты с глютеном: пшеница, рожь, овсянка и производные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Жиры животного происхождения: свинина, говядина, баранина, жирные молочные продукты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Свежие яблоки и фрукты (допускаются термически обработанные)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Ароматические добавки, острые специи, усилители вкуса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Жареное, копчёное, консервы, фастфуд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Сладкое и сахар, газированные напитки</w:t>
      </w:r>
    </w:p>
    <w:p>
      <w:pPr>
        <w:spacing w:before="200" w:after="120"/>
      </w:pPr>
      <w:r>
        <w:rPr>
          <w:rFonts w:ascii="Arial" w:hAnsi="Arial"/>
          <w:b/>
          <w:i/>
          <w:sz w:val="22"/>
          <w:shd w:val="clear" w:color="auto" w:fill="A8D08D"/>
        </w:rPr>
        <w:t>Схема коррекции здоровья: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Фитовормил </w:t>
      </w:r>
      <w:r>
        <w:rPr>
          <w:rFonts w:ascii="Arial" w:hAnsi="Arial"/>
          <w:sz w:val="22"/>
        </w:rPr>
        <w:t>— по 1 капсуле 3 раза в день в течение 14 дней, затем перерыв 10 дней, далее 5 дней по 1 таблетке 3 раза в день. Принимать между приёмами пищи, хорошо запивая водой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Detox </w:t>
      </w:r>
      <w:r>
        <w:rPr>
          <w:rFonts w:ascii="Arial" w:hAnsi="Arial"/>
          <w:sz w:val="22"/>
        </w:rPr>
        <w:t>— по 1 капсуле 2 раза в день за 30 минут до еды. Курс — 1 упаковка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Fiber </w:t>
      </w:r>
      <w:r>
        <w:rPr>
          <w:rFonts w:ascii="Arial" w:hAnsi="Arial"/>
          <w:sz w:val="22"/>
        </w:rPr>
        <w:t>— по 1 пакетику 2 раза в день за 30 минут до еды. Курс — 1 упаковка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Хитозан </w:t>
      </w:r>
      <w:r>
        <w:rPr>
          <w:rFonts w:ascii="Arial" w:hAnsi="Arial"/>
          <w:sz w:val="22"/>
        </w:rPr>
        <w:t>— по 2 капсулы утром натощак, запивая 250–300 мл тёплой воды. Курс — 2 недели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Витамин А </w:t>
      </w:r>
      <w:r>
        <w:rPr>
          <w:rFonts w:ascii="Arial" w:hAnsi="Arial"/>
          <w:sz w:val="22"/>
        </w:rPr>
        <w:t>— по 5000 ед утром с едой. Курс 1 месяц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Витамин D </w:t>
      </w:r>
      <w:r>
        <w:rPr>
          <w:rFonts w:ascii="Arial" w:hAnsi="Arial"/>
          <w:sz w:val="22"/>
        </w:rPr>
        <w:t>— по 2000 ед в день. Курс 1 месяц, далее по 1000 ед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Витамин В1 </w:t>
      </w:r>
      <w:r>
        <w:rPr>
          <w:rFonts w:ascii="Arial" w:hAnsi="Arial"/>
          <w:sz w:val="22"/>
        </w:rPr>
        <w:t>— по 250 мг за час до сна. Курс 1 месяц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Витамин В5 </w:t>
      </w:r>
      <w:r>
        <w:rPr>
          <w:rFonts w:ascii="Arial" w:hAnsi="Arial"/>
          <w:sz w:val="22"/>
        </w:rPr>
        <w:t>— по 100 мг утром с едой. Курс 1 месяц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В-комплекс </w:t>
      </w:r>
      <w:r>
        <w:rPr>
          <w:rFonts w:ascii="Arial" w:hAnsi="Arial"/>
          <w:sz w:val="22"/>
        </w:rPr>
        <w:t>— по 1 таблетке утром во время приёма пищи. Курс 2 месяца (содержит В2)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Кальций + Д3 </w:t>
      </w:r>
      <w:r>
        <w:rPr>
          <w:rFonts w:ascii="Arial" w:hAnsi="Arial"/>
          <w:sz w:val="22"/>
        </w:rPr>
        <w:t>— по инструкции. Курс 1 месяц</w:t>
      </w:r>
    </w:p>
    <w:p/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Поздравляю!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Благодарю за доверие.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Я рада приветствовать Вас на Вашей программе коррекции веса и здоровья.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Моя цель — помочь Вам справиться с Вашей проблемой и научиться осознанно управлять своим здоровьем.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С заботой и верой в Вас, ваш Health-coach Anna Soloviova и команда проекта WELLNESS CODE by Anna Soloviova</w:t>
      </w:r>
    </w:p>
    <w:sectPr w:rsidR="00FC693F" w:rsidRPr="0006063C" w:rsidSect="00034616">
      <w:pgSz w:w="12240" w:h="15840"/>
      <w:pgMar w:top="1200" w:right="1440" w:bottom="12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