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Calibri" w:hAnsi="Calibri"/>
          <w:b/>
          <w:color w:val="7B52AB"/>
          <w:sz w:val="18"/>
        </w:rPr>
        <w:t>WELLNESS CODE by Anna Soloviova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" w:type="dxa"/>
              <w:bottom w:w="10" w:type="dxa"/>
              <w:left w:w="120" w:type="dxa"/>
              <w:right w:w="120" w:type="dxa"/>
            </w:tcMar>
          </w:tcPr>
          <w:p/>
        </w:tc>
      </w:tr>
    </w:tbl>
    <w:p>
      <w:pPr>
        <w:spacing w:before="0" w:after="60"/>
      </w:pPr>
    </w:p>
    <w:p>
      <w:pPr>
        <w:jc w:val="center"/>
        <w:spacing w:before="0" w:after="40"/>
      </w:pPr>
      <w:r>
        <w:rPr>
          <w:rFonts w:ascii="Calibri" w:hAnsi="Calibri"/>
          <w:b/>
          <w:color w:val="7B52AB"/>
          <w:sz w:val="30"/>
        </w:rPr>
        <w:t>ЗВІТ ФУНКЦІОНАЛЬНОГО БІОРЕЗОНАНСНОГО АНАЛІЗУ</w:t>
      </w:r>
    </w:p>
    <w:p>
      <w:pPr>
        <w:jc w:val="center"/>
        <w:spacing w:before="0" w:after="20"/>
      </w:pPr>
      <w:r>
        <w:rPr>
          <w:rFonts w:ascii="Calibri" w:hAnsi="Calibri"/>
          <w:b w:val="0"/>
          <w:color w:val="646464"/>
          <w:sz w:val="21"/>
        </w:rPr>
        <w:t>Wellness-оцінка стану функціональних систем організму</w:t>
      </w:r>
    </w:p>
    <w:p>
      <w:pPr>
        <w:jc w:val="center"/>
        <w:spacing w:before="0" w:after="120"/>
      </w:pPr>
      <w:r>
        <w:rPr>
          <w:rFonts w:ascii="Calibri" w:hAnsi="Calibri"/>
          <w:b/>
          <w:color w:val="F0811E"/>
          <w:sz w:val="24"/>
        </w:rPr>
        <w:t>[ПІБ клієнта]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FFF3CD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A06400"/>
                <w:sz w:val="20"/>
              </w:rPr>
              <w:t xml:space="preserve">⚠  ВАЖЛИВО: </w:t>
            </w:r>
            <w:r>
              <w:rPr>
                <w:rFonts w:ascii="Calibri" w:hAnsi="Calibri"/>
                <w:b w:val="0"/>
                <w:color w:val="785000"/>
                <w:sz w:val="20"/>
              </w:rPr>
              <w:t>Цей документ є звітом функціонального біорезонансного аналізу і НЕ є медичним діагнозом. Він не замінює консультацію лікаря та не може використовуватися для самолікування. Для встановлення діагнозу зверніться до авторизованого медичного спеціаліста.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1. НЕРВОВА СИСТЕМА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стовбура головного мозку справа, що можуть бути пов'язані з особливостями емоційно-поведінкової регуляції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підвищеної реактивності нервової системи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2. ОПОРНО-РУХОВИЙ АПАРАТ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атланто-аксіального з'єднання С1–С2, що можуть впливати на кровопостачання мозку, координацію, слух, зір та чутливість верхніх кінцівок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функціональних змін у грудному та крижовому відділах хребта (потребують додаткового обстеження)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зниженого тонусу м'язів нижніх кінцівок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сухожилля та капсули плечового суглоба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дрібних суглобів нижніх кінцівок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порушення положення та рухливості діафрагми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склепіння стопи (плоскостопість)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зниження щільності кісткової тканини (потребують підтвердження денситометрією)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3. СЕРЦЕВО-СУДИННА СИСТЕМА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підвищеного навантаження на судинну стінку, характерні для порушення ліпідного обміну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реактивного ліпідного дисбалансу, пов'язаного зі стресовою реакцією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венозного кровотоку нижніх кінцівок (рання стадія)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4. ТРАВНА СИСТЕМА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жовчного міхура зі схильністю до застою жовчі та порушення жовчовиділення за гіпокінетичним типом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підшлункової залози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підвищеного газоутворення в кишківнику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5. ЕНДОКРИННА СИСТЕМА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зниженої функціональної активності щитоподібної залози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змін функціональної активності прищитоподібних залоз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дисбалансу секреції статевих гормонів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схильності до підвищеної імунної реактивності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підвищеної активності симпато-адреналової системи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6. СЕЧОСТАТЕВА СИСТЕМА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підвищеної чутливості сечового міхура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передміхурової залози (доброякісне розростання тканини — потребує підтвердження у уролога)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7. ОРГАНИ ЗОРУ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судин сітківки лівого ока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змін центрального зору зі схильністю до помутніння кришталика правого ока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8. ЛОР / ПОРОЖНИНА РОТА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Функціональні зміни в зоні носової перегородки, що можуть ускладнювати носове дихання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хронічного запального процесу в зоні придаткових пазух носа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хронічного запального процесу в зоні мигдаликів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зниженого тонусу м'якого піднебіння (може впливати на якість сну)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запального процесу в зоні ясен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9. ІМУННА СИСТЕМА ТА ІНФЕКЦІЙНЕ НАВАНТАЖЕННЯ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мікотичного (грибкового) дисбалансу в зоні уретри, зовнішнього та середнього вуха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активності герпесвірусу 1-го, 2-го, 7-го типу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Перенесена вірусна інфекція COVID у попередні 3 місяці — постковідне навантаження на імунну систему</w:t>
      </w:r>
    </w:p>
    <w:p>
      <w:pPr>
        <w:spacing w:before="0" w:after="30"/>
      </w:pPr>
      <w:r>
        <w:rPr>
          <w:rFonts w:ascii="Calibri" w:hAnsi="Calibri"/>
          <w:b/>
          <w:color w:val="7B52A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підвищеного паразитарного навантаження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52AB7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10. ДЕФІЦИТИ ПОЖИВНИХ РЕЧОВИН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52AB7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дефіциту вітамінів А, D, групи В</w:t>
      </w:r>
    </w:p>
    <w:p>
      <w:pPr>
        <w:spacing w:before="0" w:after="30"/>
      </w:pPr>
      <w:r>
        <w:rPr>
          <w:rFonts w:ascii="Calibri" w:hAnsi="Calibri"/>
          <w:b/>
          <w:color w:val="52AB7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дефіциту мінералів</w:t>
      </w:r>
    </w:p>
    <w:p>
      <w:pPr>
        <w:spacing w:before="0" w:after="30"/>
      </w:pPr>
      <w:r>
        <w:rPr>
          <w:rFonts w:ascii="Calibri" w:hAnsi="Calibri"/>
          <w:b/>
          <w:color w:val="52AB7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дефіциту цинку</w:t>
      </w:r>
    </w:p>
    <w:p>
      <w:pPr>
        <w:spacing w:before="0" w:after="30"/>
      </w:pPr>
      <w:r>
        <w:rPr>
          <w:rFonts w:ascii="Calibri" w:hAnsi="Calibri"/>
          <w:b/>
          <w:color w:val="52AB7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дефіциту амінокислот: аргінін, гліцин, аспарагінова кислота, таурин, орнітин, диметилгліцин, глутатіон, валін, метіонін</w:t>
      </w:r>
    </w:p>
    <w:p>
      <w:pPr>
        <w:spacing w:before="0" w:after="30"/>
      </w:pPr>
      <w:r>
        <w:rPr>
          <w:rFonts w:ascii="Calibri" w:hAnsi="Calibri"/>
          <w:b/>
          <w:color w:val="52AB7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підвищеного мікотоксинового навантаження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52AB7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11. ХАРЧОВА ТА ХІМІЧНА ЧУТЛИВІСТЬ</w:t>
            </w:r>
          </w:p>
        </w:tc>
      </w:tr>
    </w:tbl>
    <w:p>
      <w:pPr>
        <w:spacing w:before="0" w:after="40"/>
      </w:pPr>
    </w:p>
    <w:p>
      <w:pPr>
        <w:spacing w:before="0" w:after="30"/>
      </w:pPr>
      <w:r>
        <w:rPr>
          <w:rFonts w:ascii="Calibri" w:hAnsi="Calibri"/>
          <w:b/>
          <w:color w:val="52AB7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підвищеної чутливості організму до: бобових, цукру, рису, продуктів, що містять глютен (пшениця, жито, вівсянка), жирних сортів риби</w:t>
      </w:r>
    </w:p>
    <w:p>
      <w:pPr>
        <w:spacing w:before="0" w:after="30"/>
      </w:pPr>
      <w:r>
        <w:rPr>
          <w:rFonts w:ascii="Calibri" w:hAnsi="Calibri"/>
          <w:b/>
          <w:color w:val="52AB7B"/>
          <w:sz w:val="21"/>
        </w:rPr>
        <w:t xml:space="preserve">●  </w:t>
      </w:r>
      <w:r>
        <w:rPr>
          <w:rFonts w:ascii="Calibri" w:hAnsi="Calibri"/>
          <w:b w:val="0"/>
          <w:color w:val="1E1E1E"/>
          <w:sz w:val="21"/>
        </w:rPr>
        <w:t>Показники підвищеної чутливості до летких речовин: парфумерія, вихлопні гази та інші хімічні подразники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ВІТАЄМО З ПОЧАТКОМ ПРОГРАМИ!</w:t>
            </w:r>
          </w:p>
        </w:tc>
      </w:tr>
    </w:tbl>
    <w:p>
      <w:pPr>
        <w:spacing w:before="0" w:after="40"/>
      </w:pPr>
    </w:p>
    <w:p>
      <w:pPr>
        <w:spacing w:before="60" w:after="40"/>
      </w:pPr>
      <w:r>
        <w:rPr>
          <w:rFonts w:ascii="Calibri" w:hAnsi="Calibri"/>
          <w:b/>
          <w:color w:val="7B52AB"/>
          <w:sz w:val="22"/>
        </w:rPr>
        <w:t>Дякую за довіру.</w:t>
      </w:r>
    </w:p>
    <w:p>
      <w:pPr>
        <w:spacing w:before="0" w:after="30"/>
      </w:pPr>
      <w:r>
        <w:rPr>
          <w:rFonts w:ascii="Calibri" w:hAnsi="Calibri"/>
          <w:b w:val="0"/>
          <w:color w:val="1E1E1E"/>
          <w:sz w:val="21"/>
        </w:rPr>
        <w:t>Я рада вітати Вас на Вашій програмі корекції ваги та здоров'я.</w:t>
      </w:r>
    </w:p>
    <w:p>
      <w:pPr>
        <w:spacing w:before="0" w:after="30"/>
      </w:pPr>
      <w:r>
        <w:rPr>
          <w:rFonts w:ascii="Calibri" w:hAnsi="Calibri"/>
          <w:b w:val="0"/>
          <w:color w:val="1E1E1E"/>
          <w:sz w:val="21"/>
        </w:rPr>
        <w:t>Моя мета — допомогти Вам впоратися з Вашою проблемою і навчитися усвідомлено керувати своїм здоров'ям.</w:t>
      </w:r>
    </w:p>
    <w:p>
      <w:pPr>
        <w:spacing w:before="0" w:after="30"/>
      </w:pPr>
      <w:r>
        <w:rPr>
          <w:rFonts w:ascii="Calibri" w:hAnsi="Calibri"/>
          <w:b w:val="0"/>
          <w:color w:val="1E1E1E"/>
          <w:sz w:val="21"/>
        </w:rPr>
        <w:t>З турботою та вірою у Вас,</w:t>
      </w:r>
    </w:p>
    <w:p>
      <w:pPr>
        <w:spacing w:before="40" w:after="120"/>
      </w:pPr>
      <w:r>
        <w:rPr>
          <w:rFonts w:ascii="Calibri" w:hAnsi="Calibri"/>
          <w:b/>
          <w:color w:val="7B52AB"/>
          <w:sz w:val="21"/>
        </w:rPr>
        <w:t>Health-coach Anna Soloviova та команда проєкту WELLNESS CODE by Anna Soloviova</w:t>
      </w:r>
    </w:p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819"/>
      </w:tblGrid>
      <w:tr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646464"/>
                <w:sz w:val="18"/>
              </w:rPr>
              <w:t>Дата складання: ________________</w:t>
            </w:r>
          </w:p>
        </w:tc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46464"/>
                <w:sz w:val="18"/>
              </w:rPr>
              <w:t>Health-coach: ________________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