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28"/>
        </w:rPr>
        <w:t>Заключение по тестированию</w:t>
      </w:r>
    </w:p>
    <w:p>
      <w:pPr>
        <w:spacing w:before="0" w:after="200"/>
        <w:jc w:val="right"/>
      </w:pPr>
      <w:r>
        <w:rPr>
          <w:b w:val="0"/>
          <w:i w:val="0"/>
          <w:sz w:val="24"/>
        </w:rPr>
        <w:t>06.06.2026</w:t>
      </w:r>
    </w:p>
    <w:p>
      <w:pPr>
        <w:spacing w:after="320"/>
      </w:pPr>
      <w:r>
        <w:rPr>
          <w:b/>
          <w:sz w:val="24"/>
        </w:rPr>
        <w:t>Лобель Илана, 19.12.1947</w:t>
      </w:r>
      <w:r>
        <w:rPr>
          <w:sz w:val="24"/>
        </w:rPr>
        <w:br/>
        <w:t>+972543939238</w:t>
      </w:r>
    </w:p>
    <w:p>
      <w:pPr>
        <w:spacing w:before="200" w:after="80"/>
      </w:pPr>
      <w:r>
        <w:rPr>
          <w:b/>
          <w:i/>
          <w:sz w:val="24"/>
          <w:highlight w:val="yellow"/>
        </w:rPr>
        <w:t>Выявленные нарушения:</w:t>
      </w:r>
    </w:p>
    <w:p>
      <w:pPr>
        <w:spacing w:before="200" w:after="40"/>
      </w:pPr>
      <w:r>
        <w:rPr>
          <w:b/>
          <w:sz w:val="24"/>
        </w:rPr>
        <w:t>НЕРВНАЯ СИСТЕМА</w:t>
      </w:r>
    </w:p>
    <w:p>
      <w:pPr>
        <w:pStyle w:val="ListBullet"/>
        <w:spacing w:before="0" w:after="60"/>
      </w:pPr>
      <w:r>
        <w:rPr>
          <w:b/>
          <w:sz w:val="22"/>
        </w:rPr>
        <w:t>Напряжение нервной системы 1-й степени</w:t>
      </w:r>
    </w:p>
    <w:p>
      <w:pPr>
        <w:pStyle w:val="ListBullet"/>
        <w:spacing w:before="0" w:after="60"/>
      </w:pPr>
      <w:r>
        <w:rPr>
          <w:b/>
          <w:sz w:val="22"/>
        </w:rPr>
        <w:t>Признаки снижения уровня мелатонина</w:t>
      </w:r>
    </w:p>
    <w:p>
      <w:pPr>
        <w:spacing w:before="200" w:after="40"/>
      </w:pPr>
      <w:r>
        <w:rPr>
          <w:b/>
          <w:sz w:val="24"/>
        </w:rPr>
        <w:t>ОПОРНО-ДВИГАТЕЛЬНЫЙ АППАРАТ</w:t>
      </w:r>
    </w:p>
    <w:p>
      <w:pPr>
        <w:pStyle w:val="ListBullet"/>
        <w:spacing w:before="0" w:after="60"/>
      </w:pPr>
      <w:r>
        <w:rPr>
          <w:b/>
          <w:sz w:val="22"/>
        </w:rPr>
        <w:t>Защемление позвоночных артерий на уровне Ц1, Ц2 со склонностью к скачкам артериального давления</w:t>
      </w:r>
    </w:p>
    <w:p>
      <w:pPr>
        <w:pStyle w:val="ListBullet"/>
        <w:spacing w:before="0" w:after="60"/>
      </w:pPr>
      <w:r>
        <w:rPr>
          <w:b/>
          <w:sz w:val="22"/>
        </w:rPr>
        <w:t>Признаки грыжи в поясничном отделе позвоночника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выраженного остеохондроза</w:t>
      </w:r>
    </w:p>
    <w:p>
      <w:pPr>
        <w:pStyle w:val="ListBullet"/>
        <w:spacing w:before="0" w:after="60"/>
      </w:pPr>
      <w:r>
        <w:rPr>
          <w:b/>
          <w:sz w:val="22"/>
        </w:rPr>
        <w:t>Признаки смещения межпозвоночных дисков</w:t>
      </w:r>
    </w:p>
    <w:p>
      <w:pPr>
        <w:pStyle w:val="ListBullet"/>
        <w:spacing w:before="0" w:after="60"/>
      </w:pPr>
      <w:r>
        <w:rPr>
          <w:b/>
          <w:sz w:val="22"/>
        </w:rPr>
        <w:t>Признаки кифоза в шейном и грудном отделе позвоночника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нарушения осанки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изменения свода стопы</w:t>
      </w:r>
    </w:p>
    <w:p>
      <w:pPr>
        <w:pStyle w:val="ListBullet"/>
        <w:spacing w:before="0" w:after="60"/>
      </w:pPr>
      <w:r>
        <w:rPr>
          <w:b/>
          <w:sz w:val="22"/>
        </w:rPr>
        <w:t>Признаки воспаления мелких суставов</w:t>
      </w:r>
      <w:r>
        <w:rPr>
          <w:i/>
          <w:sz w:val="22"/>
        </w:rPr>
        <w:t xml:space="preserve"> (подагра — под вопросом)</w:t>
      </w:r>
    </w:p>
    <w:p>
      <w:pPr>
        <w:pStyle w:val="ListBullet"/>
        <w:spacing w:before="0" w:after="60"/>
      </w:pPr>
      <w:r>
        <w:rPr>
          <w:b/>
          <w:sz w:val="22"/>
        </w:rPr>
        <w:t>Остеопороз</w:t>
      </w:r>
    </w:p>
    <w:p>
      <w:pPr>
        <w:spacing w:before="200" w:after="40"/>
      </w:pPr>
      <w:r>
        <w:rPr>
          <w:b/>
          <w:sz w:val="24"/>
        </w:rPr>
        <w:t>СЕРДЕЧНО-СОСУДИСТАЯ СИСТЕМА</w:t>
      </w:r>
    </w:p>
    <w:p>
      <w:pPr>
        <w:pStyle w:val="ListBullet"/>
        <w:spacing w:before="0" w:after="60"/>
      </w:pPr>
      <w:r>
        <w:rPr>
          <w:b/>
          <w:sz w:val="22"/>
        </w:rPr>
        <w:t>Миокардиосклероз</w:t>
      </w:r>
    </w:p>
    <w:p>
      <w:pPr>
        <w:pStyle w:val="ListBullet"/>
        <w:spacing w:before="0" w:after="60"/>
      </w:pPr>
      <w:r>
        <w:rPr>
          <w:b/>
          <w:sz w:val="22"/>
        </w:rPr>
        <w:t>Признаки атеросклероза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липидемии</w:t>
      </w:r>
    </w:p>
    <w:p>
      <w:pPr>
        <w:pStyle w:val="ListBullet"/>
        <w:spacing w:before="0" w:after="60"/>
      </w:pPr>
      <w:r>
        <w:rPr>
          <w:b/>
          <w:sz w:val="22"/>
        </w:rPr>
        <w:t>Признаки склонности к повышению артериального давления и тахикардии</w:t>
      </w:r>
    </w:p>
    <w:p>
      <w:pPr>
        <w:spacing w:before="200" w:after="40"/>
      </w:pPr>
      <w:r>
        <w:rPr>
          <w:b/>
          <w:sz w:val="24"/>
        </w:rPr>
        <w:t>ПИЩЕВАРИТЕЛЬНАЯ СИСТЕМА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жировой инфильтрации печени</w:t>
      </w:r>
    </w:p>
    <w:p>
      <w:pPr>
        <w:pStyle w:val="ListBullet"/>
        <w:spacing w:before="0" w:after="60"/>
      </w:pPr>
      <w:r>
        <w:rPr>
          <w:b/>
          <w:sz w:val="22"/>
        </w:rPr>
        <w:t>Признаки хронического холецистита со склонностью к камнеобразованию</w:t>
      </w:r>
    </w:p>
    <w:p>
      <w:pPr>
        <w:pStyle w:val="ListBullet"/>
        <w:spacing w:before="0" w:after="60"/>
      </w:pPr>
      <w:r>
        <w:rPr>
          <w:b/>
          <w:sz w:val="22"/>
        </w:rPr>
        <w:t>Признаки сужения желчевыводящих путей по гипокинетическому типу</w:t>
      </w:r>
    </w:p>
    <w:p>
      <w:pPr>
        <w:pStyle w:val="ListBullet"/>
        <w:spacing w:before="0" w:after="60"/>
      </w:pPr>
      <w:r>
        <w:rPr>
          <w:b/>
          <w:sz w:val="22"/>
        </w:rPr>
        <w:t>Признаки недостаточности пищеварения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избыточного процесса брожения в толстом кишечнике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изменения кислотности желудочного сока</w:t>
      </w:r>
    </w:p>
    <w:p>
      <w:pPr>
        <w:spacing w:before="200" w:after="40"/>
      </w:pPr>
      <w:r>
        <w:rPr>
          <w:b/>
          <w:sz w:val="24"/>
        </w:rPr>
        <w:t>ЭНДОКРИННАЯ И РЕПРОДУКТИВНАЯ СИСТЕМА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выраженных климактерических изменений в яичниках</w:t>
      </w:r>
    </w:p>
    <w:p>
      <w:pPr>
        <w:pStyle w:val="ListBullet"/>
        <w:spacing w:before="0" w:after="60"/>
      </w:pPr>
      <w:r>
        <w:rPr>
          <w:b/>
          <w:sz w:val="22"/>
        </w:rPr>
        <w:t>Выраженная гипоэстрогенемия</w:t>
      </w:r>
    </w:p>
    <w:p>
      <w:pPr>
        <w:pStyle w:val="ListBullet"/>
        <w:spacing w:before="0" w:after="60"/>
      </w:pPr>
      <w:r>
        <w:rPr>
          <w:b/>
          <w:sz w:val="22"/>
        </w:rPr>
        <w:t>Признаки нарушения глюкокортикоидной функции яичников</w:t>
      </w:r>
    </w:p>
    <w:p>
      <w:pPr>
        <w:pStyle w:val="ListBullet"/>
        <w:spacing w:before="0" w:after="60"/>
      </w:pPr>
      <w:r>
        <w:rPr>
          <w:b/>
          <w:sz w:val="22"/>
        </w:rPr>
        <w:t>Признаки нарушения обмена веществ</w:t>
      </w:r>
    </w:p>
    <w:p>
      <w:pPr>
        <w:spacing w:before="200" w:after="40"/>
      </w:pPr>
      <w:r>
        <w:rPr>
          <w:b/>
          <w:sz w:val="24"/>
        </w:rPr>
        <w:t>МОЧЕВЫДЕЛИТЕЛЬНАЯ СИСТЕМА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нарушения сократительной функции / тонуса мочевого пузыря</w:t>
      </w:r>
    </w:p>
    <w:p>
      <w:pPr>
        <w:spacing w:before="200" w:after="40"/>
      </w:pPr>
      <w:r>
        <w:rPr>
          <w:b/>
          <w:sz w:val="24"/>
        </w:rPr>
        <w:t>ОРГАНЫ ЗРЕНИЯ</w:t>
      </w:r>
    </w:p>
    <w:p>
      <w:pPr>
        <w:pStyle w:val="ListBullet"/>
        <w:spacing w:before="0" w:after="60"/>
      </w:pPr>
      <w:r>
        <w:rPr>
          <w:b/>
          <w:sz w:val="22"/>
        </w:rPr>
        <w:t>Признаки снижения остроты зрения, повышения внутриглазного давления, помутнения хрусталика правого глаза</w:t>
      </w:r>
    </w:p>
    <w:p>
      <w:pPr>
        <w:spacing w:before="200" w:after="40"/>
      </w:pPr>
      <w:r>
        <w:rPr>
          <w:b/>
          <w:sz w:val="24"/>
        </w:rPr>
        <w:t>ИММУННАЯ СИСТЕМА И ИНФЕКЦИИ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изменений лимфатических узлов средостения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изменений селезёнки</w:t>
      </w:r>
      <w:r>
        <w:rPr>
          <w:i/>
          <w:sz w:val="22"/>
        </w:rPr>
        <w:t xml:space="preserve"> (негемолитический тип — под вопросом)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изменений бронхов, миндалин и носовых ходов</w:t>
      </w:r>
    </w:p>
    <w:p>
      <w:pPr>
        <w:pStyle w:val="ListBullet"/>
        <w:spacing w:before="0" w:after="60"/>
      </w:pPr>
      <w:r>
        <w:rPr>
          <w:b/>
          <w:sz w:val="22"/>
        </w:rPr>
        <w:t>Признаки хронического тонзиллита</w:t>
      </w:r>
    </w:p>
    <w:p>
      <w:pPr>
        <w:pStyle w:val="ListBullet"/>
        <w:spacing w:before="0" w:after="60"/>
      </w:pPr>
      <w:r>
        <w:rPr>
          <w:b/>
          <w:sz w:val="22"/>
        </w:rPr>
        <w:t>Папилломавирус</w:t>
      </w:r>
    </w:p>
    <w:p>
      <w:pPr>
        <w:pStyle w:val="ListBullet"/>
        <w:spacing w:before="0" w:after="60"/>
      </w:pPr>
      <w:r>
        <w:rPr>
          <w:b/>
          <w:sz w:val="22"/>
        </w:rPr>
        <w:t>Герпес 2-го, 3-го, 7-го типа</w:t>
      </w:r>
    </w:p>
    <w:p>
      <w:pPr>
        <w:pStyle w:val="ListBullet"/>
        <w:spacing w:before="0" w:after="60"/>
      </w:pPr>
      <w:r>
        <w:rPr>
          <w:b/>
          <w:sz w:val="22"/>
        </w:rPr>
        <w:t>Паразитоз</w:t>
      </w:r>
    </w:p>
    <w:p>
      <w:pPr>
        <w:spacing w:before="200" w:after="40"/>
      </w:pPr>
      <w:r>
        <w:rPr>
          <w:b/>
          <w:sz w:val="24"/>
        </w:rPr>
        <w:t>ДЕФИЦИТЫ ПИТАТЕЛЬНЫХ ВЕЩЕСТВ</w:t>
      </w:r>
    </w:p>
    <w:p>
      <w:pPr>
        <w:pStyle w:val="ListBullet"/>
        <w:spacing w:before="0" w:after="60"/>
      </w:pPr>
      <w:r>
        <w:rPr>
          <w:b/>
          <w:sz w:val="22"/>
        </w:rPr>
        <w:t>Признаки глубокого дефицита всех витаминов</w:t>
      </w:r>
    </w:p>
    <w:p>
      <w:pPr>
        <w:pStyle w:val="ListBullet"/>
        <w:spacing w:before="0" w:after="60"/>
      </w:pPr>
      <w:r>
        <w:rPr>
          <w:b/>
          <w:sz w:val="22"/>
        </w:rPr>
        <w:t>Признаки дефицита витамина D</w:t>
      </w:r>
    </w:p>
    <w:p>
      <w:pPr>
        <w:pStyle w:val="ListBullet"/>
        <w:spacing w:before="0" w:after="60"/>
      </w:pPr>
      <w:r>
        <w:rPr>
          <w:b/>
          <w:sz w:val="22"/>
        </w:rPr>
        <w:t>Признаки дефицита кальция</w:t>
      </w:r>
    </w:p>
    <w:p>
      <w:pPr>
        <w:pStyle w:val="ListBullet"/>
        <w:spacing w:before="0" w:after="60"/>
      </w:pPr>
      <w:r>
        <w:rPr>
          <w:b/>
          <w:sz w:val="22"/>
        </w:rPr>
        <w:t>Признаки дефицита минералов</w:t>
      </w:r>
    </w:p>
    <w:p>
      <w:pPr>
        <w:pStyle w:val="ListBullet"/>
        <w:spacing w:before="0" w:after="60"/>
      </w:pPr>
      <w:r>
        <w:rPr>
          <w:b/>
          <w:sz w:val="22"/>
        </w:rPr>
        <w:t xml:space="preserve">Признаки дефицита аминокислот: </w:t>
      </w:r>
      <w:r>
        <w:rPr>
          <w:sz w:val="22"/>
        </w:rPr>
        <w:t>цистина, глицина, карнитина, глутаминовой кислоты, таурина, лизина, триптофана, фенилаланина</w:t>
      </w:r>
    </w:p>
    <w:p>
      <w:pPr>
        <w:pStyle w:val="ListBullet"/>
        <w:spacing w:before="0" w:after="60"/>
      </w:pPr>
      <w:r>
        <w:rPr>
          <w:b/>
          <w:sz w:val="22"/>
        </w:rPr>
        <w:t>Признаки интоксикации микотоксинами</w:t>
      </w:r>
    </w:p>
    <w:p>
      <w:pPr>
        <w:spacing w:before="200" w:after="40"/>
      </w:pPr>
      <w:r>
        <w:rPr>
          <w:b/>
          <w:sz w:val="24"/>
        </w:rPr>
        <w:t>ПИЩЕВАЯ НЕПЕРЕНОСИМОСТЬ</w:t>
      </w:r>
    </w:p>
    <w:p>
      <w:pPr>
        <w:pStyle w:val="ListBullet"/>
        <w:spacing w:before="0" w:after="60"/>
      </w:pPr>
      <w:r>
        <w:rPr>
          <w:b/>
          <w:sz w:val="22"/>
        </w:rPr>
        <w:t xml:space="preserve">Признаки непереносимости: </w:t>
      </w:r>
      <w:r>
        <w:rPr>
          <w:sz w:val="22"/>
        </w:rPr>
        <w:t>дрожжей, риса, глютена, злаковых, домашней пыли, кофе, чая, шоколада и какао</w:t>
      </w:r>
    </w:p>
    <w:p>
      <w:pPr>
        <w:pStyle w:val="ListBullet"/>
        <w:spacing w:before="0" w:after="60"/>
      </w:pPr>
      <w:r>
        <w:rPr>
          <w:b/>
          <w:sz w:val="22"/>
        </w:rPr>
        <w:t>Непереносимость листовых и зелёных овощей и фруктов</w:t>
      </w:r>
    </w:p>
    <w:p/>
    <w:p>
      <w:pPr>
        <w:spacing w:before="0" w:after="40"/>
      </w:pPr>
      <w:r>
        <w:rPr>
          <w:i/>
          <w:color w:val="2E74B5"/>
          <w:sz w:val="22"/>
        </w:rPr>
        <w:t>Поздравляю!</w:t>
      </w:r>
    </w:p>
    <w:p>
      <w:pPr>
        <w:spacing w:before="0" w:after="40"/>
      </w:pPr>
      <w:r>
        <w:rPr>
          <w:i/>
          <w:color w:val="2E74B5"/>
          <w:sz w:val="22"/>
        </w:rPr>
        <w:t>Благодарю за доверие.</w:t>
      </w:r>
    </w:p>
    <w:p>
      <w:pPr>
        <w:spacing w:before="0" w:after="40"/>
      </w:pPr>
      <w:r>
        <w:rPr>
          <w:i/>
          <w:color w:val="2E74B5"/>
          <w:sz w:val="22"/>
        </w:rPr>
      </w:r>
    </w:p>
    <w:p>
      <w:pPr>
        <w:spacing w:before="0" w:after="40"/>
      </w:pPr>
      <w:r>
        <w:rPr>
          <w:i/>
          <w:color w:val="2E74B5"/>
          <w:sz w:val="22"/>
        </w:rPr>
        <w:t>Я рада приветствовать Вас на Вашей программе коррекции веса и здоровья.</w:t>
      </w:r>
    </w:p>
    <w:p>
      <w:pPr>
        <w:spacing w:before="0" w:after="40"/>
      </w:pPr>
      <w:r>
        <w:rPr>
          <w:i/>
          <w:color w:val="2E74B5"/>
          <w:sz w:val="22"/>
        </w:rPr>
      </w:r>
    </w:p>
    <w:p>
      <w:pPr>
        <w:spacing w:before="0" w:after="40"/>
      </w:pPr>
      <w:r>
        <w:rPr>
          <w:i/>
          <w:color w:val="2E74B5"/>
          <w:sz w:val="22"/>
        </w:rPr>
        <w:t>Моя цель — помочь Вам справиться с Вашей проблемой и научиться осознанно управлять своим здоровьем.</w:t>
      </w:r>
    </w:p>
    <w:p>
      <w:pPr>
        <w:spacing w:before="0" w:after="40"/>
      </w:pPr>
      <w:r>
        <w:rPr>
          <w:i/>
          <w:color w:val="2E74B5"/>
          <w:sz w:val="22"/>
        </w:rPr>
      </w:r>
    </w:p>
    <w:p>
      <w:pPr>
        <w:spacing w:before="0" w:after="40"/>
      </w:pPr>
      <w:r>
        <w:rPr>
          <w:i/>
          <w:color w:val="2E74B5"/>
          <w:sz w:val="22"/>
        </w:rPr>
        <w:t>С заботой и верой в Вас, ваш Health-coach Anna Soloviova и команда проекта WELLNESS CODE by Anna Soloviova</w:t>
      </w:r>
    </w:p>
    <w:sectPr w:rsidR="00FC693F" w:rsidRPr="0006063C" w:rsidSect="00034616">
      <w:pgSz w:w="12240" w:h="15840"/>
      <w:pgMar w:top="1200" w:right="1440" w:bottom="12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