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32"/>
        </w:rPr>
        <w:t>COMPETITOR ANALYSIS</w:t>
      </w:r>
    </w:p>
    <w:p>
      <w:pPr>
        <w:jc w:val="center"/>
      </w:pPr>
      <w:r>
        <w:rPr>
          <w:color w:val="555555"/>
          <w:sz w:val="20"/>
        </w:rPr>
        <w:t>WellNest Scribe  ·  Caribbean AI Medical Scribe Platform  ·  June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Competitor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Jamaican Patois</w:t>
              <w:br/>
              <w:t>Speech Recognition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Caribbean Clinical</w:t>
              <w:br/>
              <w:t>Terminology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Under 60 sec</w:t>
              <w:br/>
              <w:t>Note Generation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Offline / Low-</w:t>
              <w:br/>
              <w:t>Bandwidth Operation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EHR Integration</w:t>
              <w:br/>
              <w:t>Readiness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Caribbean Data</w:t>
              <w:br/>
              <w:t>Protection Act</w:t>
              <w:br/>
              <w:t>Compliance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96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Pricing for</w:t>
              <w:br/>
              <w:t>Caribbean Market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WellNest Scribe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Proprietary — built</w:t>
              <w:br/>
              <w:t>from ground up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Trained on</w:t>
              <w:br/>
              <w:t>local data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Streaming —</w:t>
              <w:br/>
              <w:t>&lt;60 sec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Audio stores locally;</w:t>
              <w:br/>
              <w:t>notes need connectivity.</w:t>
              <w:br/>
              <w:t>Offline-first on roadmap.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Integration-ready</w:t>
              <w:br/>
              <w:t>architecture; Caribbean</w:t>
              <w:br/>
              <w:t>HER connections in progress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Jamaica DPA 2020</w:t>
              <w:br/>
              <w:t>T&amp;T DPA 2011</w:t>
              <w:br/>
              <w:t>Barbados DPA 2019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USD 94/mo</w:t>
              <w:br/>
              <w:t>@ Caribbean</w:t>
              <w:br/>
              <w:t>market rate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Nuance DAX</w:t>
              <w:br/>
              <w:t>(Microsoft)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US-accented</w:t>
              <w:br/>
              <w:t>English only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 clinical</w:t>
              <w:br/>
              <w:t>terminology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Real-time /</w:t>
              <w:br/>
              <w:t>post-visit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Cloud-</w:t>
              <w:br/>
              <w:t>dependent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Epic / Meditech</w:t>
              <w:br/>
              <w:t>native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HIPAA only —</w:t>
              <w:br/>
              <w:t>US jurisdiction;</w:t>
              <w:br/>
              <w:t>not Caribbean-compliant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USD 1,512/mo</w:t>
              <w:br/>
              <w:t>per provider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Abridge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Not</w:t>
              <w:br/>
              <w:t>supported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 clinical</w:t>
              <w:br/>
              <w:t>terminology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Real-time</w:t>
              <w:br/>
              <w:t>(Epic-first)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Cloud-</w:t>
              <w:br/>
              <w:t>dependent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A7A1A"/>
                <w:sz w:val="26"/>
              </w:rPr>
              <w:t>✔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Epic-first;</w:t>
              <w:br/>
              <w:t>limited otherwise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HIPAA only —</w:t>
              <w:br/>
              <w:t>US jurisdiction;</w:t>
              <w:br/>
              <w:t>not Caribbean-compliant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USD 300–500/mo</w:t>
              <w:br/>
              <w:t>enterprise only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left"/>
            </w:pPr>
            <w:r>
              <w:rPr>
                <w:b/>
                <w:color w:val="1A1A1A"/>
                <w:sz w:val="20"/>
              </w:rPr>
              <w:t>Freed AI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Not</w:t>
              <w:br/>
              <w:t>supported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Generic — no</w:t>
              <w:br/>
              <w:t>Caribbean context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~1–2 min</w:t>
              <w:br/>
              <w:t>post-visit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Cloud-</w:t>
              <w:br/>
              <w:t>dependent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Manual copy-paste;</w:t>
              <w:br/>
              <w:t>no API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26"/>
              </w:rPr>
              <w:t>✘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HIPAA only —</w:t>
              <w:br/>
              <w:t>US jurisdiction;</w:t>
              <w:br/>
              <w:t>not Caribbean-compliant</w:t>
            </w:r>
          </w:p>
        </w:tc>
        <w:tc>
          <w:tcPr>
            <w:tcW w:type="dxa" w:w="147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vAlign w:val="center"/>
          </w:tcPr>
          <w:p>
            <w:pPr>
              <w:jc w:val="center"/>
            </w:pPr>
            <w:r>
              <w:rPr>
                <w:b/>
                <w:color w:val="CC8800"/>
                <w:sz w:val="26"/>
              </w:rPr>
              <w:t>~</w:t>
            </w:r>
          </w:p>
          <w:p>
            <w:pPr>
              <w:jc w:val="center"/>
            </w:pPr>
            <w:r>
              <w:rPr>
                <w:color w:val="444444"/>
                <w:sz w:val="15"/>
              </w:rPr>
              <w:t>USD 99/mo</w:t>
              <w:br/>
              <w:t>(US-focused)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✔ = Yes / implemented     ✘ = No / not supported     ~ = Partial / in progress</w:t>
      </w:r>
    </w:p>
    <w:p/>
    <w:p>
      <w:r>
        <w:rPr>
          <w:b/>
          <w:sz w:val="22"/>
        </w:rPr>
        <w:t>Why competitors cannot easily replicate WellNest's advantages:</w:t>
      </w:r>
    </w:p>
    <w:p>
      <w:pPr>
        <w:pStyle w:val="ListBullet"/>
      </w:pPr>
      <w:r>
        <w:rPr>
          <w:b/>
          <w:sz w:val="20"/>
        </w:rPr>
        <w:t xml:space="preserve">Jamaican Patois ASR: </w:t>
      </w:r>
      <w:r>
        <w:rPr>
          <w:sz w:val="20"/>
        </w:rPr>
        <w:t>No competing platform supports Caribbean Creole speech. Building a Patois ASR pipeline requires years of curated local audio — US vendors have no commercial incentive to invest in a market this size.</w:t>
      </w:r>
    </w:p>
    <w:p>
      <w:pPr>
        <w:pStyle w:val="ListBullet"/>
      </w:pPr>
      <w:r>
        <w:rPr>
          <w:b/>
          <w:sz w:val="20"/>
        </w:rPr>
        <w:t xml:space="preserve">Caribbean Data Protection Act Compliance: </w:t>
      </w:r>
      <w:r>
        <w:rPr>
          <w:sz w:val="20"/>
        </w:rPr>
        <w:t>WellNest is purpose-built for Jamaica DPA 2020, Trinidad &amp; Tobago DPA 2011, and Barbados DPA 2019 — covering PHI field encryption, idle session locks, audit logging, breach notification, and published ToS/Privacy Policy citing the specific legislation. US platforms are HIPAA-compliant only. Deploying a HIPAA tool in Jamaica does not satisfy the Jamaica DPA; these are different legal frameworks with different consent, retention, and notification requirements. No competitor has done this work.</w:t>
      </w:r>
    </w:p>
    <w:p>
      <w:pPr>
        <w:pStyle w:val="ListBullet"/>
      </w:pPr>
      <w:r>
        <w:rPr>
          <w:b/>
          <w:sz w:val="20"/>
        </w:rPr>
        <w:t xml:space="preserve">Offline / Low-Bandwidth (Roadmap): </w:t>
      </w:r>
      <w:r>
        <w:rPr>
          <w:sz w:val="20"/>
        </w:rPr>
        <w:t>All major competitors are fully cloud-dependent. WellNest already decouples audio recording from processing; fully offline note generation is on the product roadmap — an architectural advantage US platforms would need to redesign their products to match.</w:t>
      </w:r>
    </w:p>
    <w:p>
      <w:pPr>
        <w:pStyle w:val="ListBullet"/>
      </w:pPr>
      <w:r>
        <w:rPr>
          <w:b/>
          <w:sz w:val="20"/>
        </w:rPr>
        <w:t xml:space="preserve">Pricing: </w:t>
      </w:r>
      <w:r>
        <w:rPr>
          <w:sz w:val="20"/>
        </w:rPr>
        <w:t>At USD 94/month, WellNest is 16× cheaper than Nuance DAX (USD 1,512/mo) and 3–5× cheaper than Abridge and Suki. The price is calibrated to Caribbean private practice economics, not US insurance-reimbursed physician income.</w:t>
      </w:r>
    </w:p>
    <w:p>
      <w:pPr>
        <w:pStyle w:val="ListBullet"/>
      </w:pPr>
      <w:r>
        <w:rPr>
          <w:b/>
          <w:sz w:val="20"/>
        </w:rPr>
        <w:t xml:space="preserve">Caribbean Clinical Terminology: </w:t>
      </w:r>
      <w:r>
        <w:rPr>
          <w:sz w:val="20"/>
        </w:rPr>
        <w:t>Proprietary drug names, tropical disease differentials, and local herb/remedy references are absent from US-trained models. WellNest injects per-doctor custom terminology into every note generation prompt and is trained on Caribbean clinical context.</w:t>
      </w:r>
    </w:p>
    <w:p/>
    <w:p>
      <w:pPr>
        <w:jc w:val="right"/>
      </w:pPr>
      <w:r>
        <w:rPr>
          <w:i/>
          <w:color w:val="999999"/>
          <w:sz w:val="16"/>
        </w:rPr>
        <w:t>Prepared June 2026  ·  WellNest Scribe  ·  Confidential</w:t>
      </w:r>
    </w:p>
    <w:sectPr w:rsidR="00FC693F" w:rsidRPr="0006063C" w:rsidSect="00034616">
      <w:pgSz w:w="16838" w:h="11906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