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61A0" w:rsidRDefault="00DB6CEE">
      <w:pPr>
        <w:spacing w:after="60"/>
      </w:pPr>
      <w:bookmarkStart w:id="0" w:name="_GoBack"/>
      <w:bookmarkEnd w:id="0"/>
      <w:r>
        <w:rPr>
          <w:b/>
          <w:bCs/>
          <w:color w:val="6B7280"/>
        </w:rPr>
        <w:t>PROJETO INTEGRADOR — BOLSA FUTURO DIGITAL</w:t>
      </w:r>
    </w:p>
    <w:p w:rsidR="000B61A0" w:rsidRDefault="00DB6CEE">
      <w:pPr>
        <w:spacing w:after="40"/>
      </w:pPr>
      <w:r>
        <w:rPr>
          <w:b/>
          <w:bCs/>
          <w:color w:val="0F766E"/>
          <w:sz w:val="44"/>
          <w:szCs w:val="44"/>
        </w:rPr>
        <w:t>Desafio Técnico 1</w:t>
      </w:r>
    </w:p>
    <w:p w:rsidR="000B61A0" w:rsidRDefault="00DB6CEE">
      <w:pPr>
        <w:spacing w:after="300"/>
      </w:pPr>
      <w:r>
        <w:rPr>
          <w:b/>
          <w:bCs/>
          <w:sz w:val="28"/>
          <w:szCs w:val="28"/>
        </w:rPr>
        <w:t>Motores Preditivos e Dados — ETL, Limpeza e Enriquecimento de Dados</w:t>
      </w:r>
    </w:p>
    <w:p w:rsidR="000B61A0" w:rsidRDefault="00DB6CEE">
      <w:pPr>
        <w:pStyle w:val="Ttulo2"/>
        <w:spacing w:before="280" w:after="120"/>
      </w:pPr>
      <w:r>
        <w:rPr>
          <w:b/>
          <w:bCs/>
        </w:rPr>
        <w:t>Contexto</w:t>
      </w:r>
    </w:p>
    <w:p w:rsidR="000B61A0" w:rsidRDefault="00DB6CEE">
      <w:pPr>
        <w:spacing w:after="140"/>
      </w:pPr>
      <w:r>
        <w:t>A Distribuidora Vetor é uma atacadista B2B fictícia que vende para varejistas por meio de uma equipe comercial em campo. Como toda distribuidora com histórico de anos de operação, sua base de clientes acumulou dados cadastrais preenchidos por pessoas difer</w:t>
      </w:r>
      <w:r>
        <w:t>entes, em momentos diferentes, sem padronização — o que hoje compromete a qualidade de qualquer análise agregada (relatórios regionais, agrupamentos por bairro, segmentações comerciais).</w:t>
      </w:r>
    </w:p>
    <w:p w:rsidR="000B61A0" w:rsidRDefault="00DB6CEE">
      <w:pPr>
        <w:spacing w:after="140"/>
      </w:pPr>
      <w:r>
        <w:t xml:space="preserve">Este desafio simula exatamente esse tipo de problema: dados reais de </w:t>
      </w:r>
      <w:r>
        <w:t>negócio raramente chegam limpos, e uma parte relevante do trabalho de um engenheiro de dados é decidir como tratar a ambiguidade — não apenas escrever código.</w:t>
      </w:r>
    </w:p>
    <w:p w:rsidR="000B61A0" w:rsidRDefault="00DB6CEE">
      <w:pPr>
        <w:pStyle w:val="Ttulo2"/>
        <w:spacing w:before="280" w:after="120"/>
      </w:pPr>
      <w:r>
        <w:rPr>
          <w:b/>
          <w:bCs/>
        </w:rPr>
        <w:t>Objetivo do desafio</w:t>
      </w:r>
    </w:p>
    <w:p w:rsidR="000B61A0" w:rsidRDefault="00DB6CEE">
      <w:pPr>
        <w:spacing w:after="140"/>
      </w:pPr>
      <w:r>
        <w:t>Construir um pipeline de ETL que receba a base de clientes da Distribuidora V</w:t>
      </w:r>
      <w:r>
        <w:t>etor (fictícia, fornecida em anexo), identifique inconsistências e produza uma base final limpa e enriquecida, pronta para uso em relatórios agregados — com todas as decisões de tratamento documentadas e justificadas.</w:t>
      </w:r>
    </w:p>
    <w:p w:rsidR="000B61A0" w:rsidRDefault="00DB6CEE">
      <w:pPr>
        <w:pStyle w:val="Ttulo2"/>
        <w:spacing w:before="280" w:after="120"/>
      </w:pPr>
      <w:r>
        <w:rPr>
          <w:b/>
          <w:bCs/>
        </w:rPr>
        <w:t>Situação-problema</w:t>
      </w:r>
    </w:p>
    <w:p w:rsidR="000B61A0" w:rsidRDefault="00DB6CEE">
      <w:pPr>
        <w:spacing w:after="140"/>
      </w:pPr>
      <w:r>
        <w:t xml:space="preserve">O </w:t>
      </w:r>
      <w:proofErr w:type="spellStart"/>
      <w:r>
        <w:t>dataset</w:t>
      </w:r>
      <w:proofErr w:type="spellEnd"/>
      <w:r>
        <w:t xml:space="preserve"> fornecido </w:t>
      </w:r>
      <w:r>
        <w:t>contém, entre outras inconsistências, variações de escrita para o mesmo bairro. Exemplos reais desse tipo de problema:</w:t>
      </w:r>
    </w:p>
    <w:p w:rsidR="000B61A0" w:rsidRDefault="00DB6CEE">
      <w:pPr>
        <w:numPr>
          <w:ilvl w:val="0"/>
          <w:numId w:val="1"/>
        </w:numPr>
        <w:pBdr>
          <w:top w:val="nil"/>
          <w:left w:val="nil"/>
          <w:bottom w:val="nil"/>
          <w:right w:val="nil"/>
          <w:between w:val="nil"/>
        </w:pBdr>
        <w:spacing w:after="80"/>
      </w:pPr>
      <w:r>
        <w:rPr>
          <w:color w:val="000000"/>
        </w:rPr>
        <w:t>"Águas Claras", "Aguas claras", "AGUAS CLARAS" — mesma localidade, grafias diferentes</w:t>
      </w:r>
    </w:p>
    <w:p w:rsidR="000B61A0" w:rsidRDefault="00DB6CEE">
      <w:pPr>
        <w:numPr>
          <w:ilvl w:val="0"/>
          <w:numId w:val="1"/>
        </w:numPr>
        <w:pBdr>
          <w:top w:val="nil"/>
          <w:left w:val="nil"/>
          <w:bottom w:val="nil"/>
          <w:right w:val="nil"/>
          <w:between w:val="nil"/>
        </w:pBdr>
        <w:spacing w:after="80"/>
      </w:pPr>
      <w:r>
        <w:rPr>
          <w:color w:val="000000"/>
        </w:rPr>
        <w:t>"Norte (Águas Claras)" — uma subdivisão informal, s</w:t>
      </w:r>
      <w:r>
        <w:rPr>
          <w:color w:val="000000"/>
        </w:rPr>
        <w:t>em correspondência oficial garantida</w:t>
      </w:r>
    </w:p>
    <w:p w:rsidR="000B61A0" w:rsidRDefault="00DB6CEE">
      <w:pPr>
        <w:numPr>
          <w:ilvl w:val="0"/>
          <w:numId w:val="1"/>
        </w:numPr>
        <w:pBdr>
          <w:top w:val="nil"/>
          <w:left w:val="nil"/>
          <w:bottom w:val="nil"/>
          <w:right w:val="nil"/>
          <w:between w:val="nil"/>
        </w:pBdr>
        <w:spacing w:after="80"/>
      </w:pPr>
      <w:r>
        <w:rPr>
          <w:color w:val="000000"/>
        </w:rPr>
        <w:t>Campos de telefone, CNPJ e data em formatos inconsistentes entre registros</w:t>
      </w:r>
    </w:p>
    <w:p w:rsidR="000B61A0" w:rsidRDefault="00DB6CEE">
      <w:pPr>
        <w:numPr>
          <w:ilvl w:val="0"/>
          <w:numId w:val="1"/>
        </w:numPr>
        <w:pBdr>
          <w:top w:val="nil"/>
          <w:left w:val="nil"/>
          <w:bottom w:val="nil"/>
          <w:right w:val="nil"/>
          <w:between w:val="nil"/>
        </w:pBdr>
        <w:spacing w:after="80"/>
      </w:pPr>
      <w:proofErr w:type="spellStart"/>
      <w:r>
        <w:rPr>
          <w:color w:val="000000"/>
        </w:rPr>
        <w:t>CEPs</w:t>
      </w:r>
      <w:proofErr w:type="spellEnd"/>
      <w:r>
        <w:rPr>
          <w:color w:val="000000"/>
        </w:rPr>
        <w:t xml:space="preserve"> ausentes, inválidos ou não correspondentes ao bairro informado em texto livre</w:t>
      </w:r>
    </w:p>
    <w:p w:rsidR="000B61A0" w:rsidRDefault="00DB6CEE">
      <w:pPr>
        <w:spacing w:after="140"/>
      </w:pPr>
      <w:r>
        <w:t>Sem tratamento, esse tipo de variação polui qualquer relatóri</w:t>
      </w:r>
      <w:r>
        <w:t>o agrupado por região — o mesmo bairro aparece como várias linhas distintas, diluindo a análise.</w:t>
      </w:r>
    </w:p>
    <w:p w:rsidR="000B61A0" w:rsidRDefault="00DB6CEE">
      <w:pPr>
        <w:pStyle w:val="Ttulo2"/>
        <w:spacing w:before="280" w:after="120"/>
      </w:pPr>
      <w:r>
        <w:rPr>
          <w:b/>
          <w:bCs/>
        </w:rPr>
        <w:t>Escopo esperado / entregáveis</w:t>
      </w:r>
    </w:p>
    <w:p w:rsidR="000B61A0" w:rsidRDefault="00DB6CEE">
      <w:pPr>
        <w:numPr>
          <w:ilvl w:val="0"/>
          <w:numId w:val="1"/>
        </w:numPr>
        <w:pBdr>
          <w:top w:val="nil"/>
          <w:left w:val="nil"/>
          <w:bottom w:val="nil"/>
          <w:right w:val="nil"/>
          <w:between w:val="nil"/>
        </w:pBdr>
        <w:spacing w:after="80"/>
      </w:pPr>
      <w:r>
        <w:rPr>
          <w:color w:val="000000"/>
        </w:rPr>
        <w:t>Pipeline de ETL (Python) com etapas claras de extração, transformação e carga</w:t>
      </w:r>
    </w:p>
    <w:p w:rsidR="000B61A0" w:rsidRDefault="00DB6CEE">
      <w:pPr>
        <w:numPr>
          <w:ilvl w:val="0"/>
          <w:numId w:val="1"/>
        </w:numPr>
        <w:pBdr>
          <w:top w:val="nil"/>
          <w:left w:val="nil"/>
          <w:bottom w:val="nil"/>
          <w:right w:val="nil"/>
          <w:between w:val="nil"/>
        </w:pBdr>
        <w:spacing w:after="80"/>
      </w:pPr>
      <w:r>
        <w:rPr>
          <w:color w:val="000000"/>
        </w:rPr>
        <w:t>Base final tratada, persistida em banco SQL</w:t>
      </w:r>
    </w:p>
    <w:p w:rsidR="000B61A0" w:rsidRDefault="00DB6CEE">
      <w:pPr>
        <w:numPr>
          <w:ilvl w:val="0"/>
          <w:numId w:val="1"/>
        </w:numPr>
        <w:pBdr>
          <w:top w:val="nil"/>
          <w:left w:val="nil"/>
          <w:bottom w:val="nil"/>
          <w:right w:val="nil"/>
          <w:between w:val="nil"/>
        </w:pBdr>
        <w:spacing w:after="80"/>
      </w:pPr>
      <w:r>
        <w:rPr>
          <w:rFonts w:ascii="Cardo" w:eastAsia="Cardo" w:hAnsi="Cardo" w:cs="Cardo"/>
          <w:color w:val="000000"/>
        </w:rPr>
        <w:t xml:space="preserve">Tabela </w:t>
      </w:r>
      <w:r>
        <w:rPr>
          <w:rFonts w:ascii="Cardo" w:eastAsia="Cardo" w:hAnsi="Cardo" w:cs="Cardo"/>
          <w:color w:val="000000"/>
        </w:rPr>
        <w:t>ou log de auditoria: valor original → valor tratado → critério/fonte da decisão</w:t>
      </w:r>
    </w:p>
    <w:p w:rsidR="000B61A0" w:rsidRDefault="00DB6CEE">
      <w:pPr>
        <w:numPr>
          <w:ilvl w:val="0"/>
          <w:numId w:val="1"/>
        </w:numPr>
        <w:pBdr>
          <w:top w:val="nil"/>
          <w:left w:val="nil"/>
          <w:bottom w:val="nil"/>
          <w:right w:val="nil"/>
          <w:between w:val="nil"/>
        </w:pBdr>
        <w:spacing w:after="80"/>
      </w:pPr>
      <w:r>
        <w:rPr>
          <w:color w:val="000000"/>
        </w:rPr>
        <w:t>Testes automatizados da lógica de normalização (chamadas externas devem ser simuladas nos testes, não reais)</w:t>
      </w:r>
    </w:p>
    <w:p w:rsidR="000B61A0" w:rsidRDefault="00DB6CEE">
      <w:pPr>
        <w:numPr>
          <w:ilvl w:val="0"/>
          <w:numId w:val="1"/>
        </w:numPr>
        <w:pBdr>
          <w:top w:val="nil"/>
          <w:left w:val="nil"/>
          <w:bottom w:val="nil"/>
          <w:right w:val="nil"/>
          <w:between w:val="nil"/>
        </w:pBdr>
        <w:spacing w:after="80"/>
      </w:pPr>
      <w:r>
        <w:rPr>
          <w:color w:val="000000"/>
        </w:rPr>
        <w:t>Documentação técnica explicando as regras adotadas e seus limites c</w:t>
      </w:r>
      <w:r>
        <w:rPr>
          <w:color w:val="000000"/>
        </w:rPr>
        <w:t>onhecidos</w:t>
      </w:r>
    </w:p>
    <w:p w:rsidR="000B61A0" w:rsidRDefault="00DB6CEE">
      <w:pPr>
        <w:numPr>
          <w:ilvl w:val="0"/>
          <w:numId w:val="1"/>
        </w:numPr>
        <w:pBdr>
          <w:top w:val="nil"/>
          <w:left w:val="nil"/>
          <w:bottom w:val="nil"/>
          <w:right w:val="nil"/>
          <w:between w:val="nil"/>
        </w:pBdr>
        <w:spacing w:after="80"/>
      </w:pPr>
      <w:r>
        <w:rPr>
          <w:color w:val="000000"/>
        </w:rPr>
        <w:t>Relatório curto (1-2 páginas) com os trade-</w:t>
      </w:r>
      <w:proofErr w:type="spellStart"/>
      <w:r>
        <w:rPr>
          <w:color w:val="000000"/>
        </w:rPr>
        <w:t>offs</w:t>
      </w:r>
      <w:proofErr w:type="spellEnd"/>
      <w:r>
        <w:rPr>
          <w:color w:val="000000"/>
        </w:rPr>
        <w:t xml:space="preserve"> da abordagem escolhida — o que decidiram automatizar, o que decidiram tratar manualmente, e por quê</w:t>
      </w:r>
    </w:p>
    <w:p w:rsidR="000B61A0" w:rsidRDefault="00DB6CEE">
      <w:pPr>
        <w:pStyle w:val="Ttulo2"/>
        <w:spacing w:before="280" w:after="120"/>
      </w:pPr>
      <w:r>
        <w:rPr>
          <w:b/>
          <w:bCs/>
        </w:rPr>
        <w:t>Abordagens possíveis a considerar</w:t>
      </w:r>
    </w:p>
    <w:p w:rsidR="000B61A0" w:rsidRDefault="00DB6CEE">
      <w:pPr>
        <w:spacing w:after="140"/>
      </w:pPr>
      <w:r>
        <w:t>As sugestões abaixo são pontos de partida, não um roteiro obrigatório. A equipe deve avaliar, escolher e justificar sua própria abordagem — inclusive combinando, descartando ou substituindo itens desta lista.</w:t>
      </w:r>
    </w:p>
    <w:p w:rsidR="000B61A0" w:rsidRDefault="00DB6CEE">
      <w:pPr>
        <w:numPr>
          <w:ilvl w:val="0"/>
          <w:numId w:val="1"/>
        </w:numPr>
        <w:pBdr>
          <w:top w:val="nil"/>
          <w:left w:val="nil"/>
          <w:bottom w:val="nil"/>
          <w:right w:val="nil"/>
          <w:between w:val="nil"/>
        </w:pBdr>
        <w:spacing w:after="80"/>
      </w:pPr>
      <w:r>
        <w:rPr>
          <w:color w:val="000000"/>
        </w:rPr>
        <w:t>Normalização textual determinística (caixa, ace</w:t>
      </w:r>
      <w:r>
        <w:rPr>
          <w:color w:val="000000"/>
        </w:rPr>
        <w:t>ntuação, espaços, conteúdo entre parênteses)</w:t>
      </w:r>
    </w:p>
    <w:p w:rsidR="000B61A0" w:rsidRDefault="00DB6CEE">
      <w:pPr>
        <w:numPr>
          <w:ilvl w:val="0"/>
          <w:numId w:val="1"/>
        </w:numPr>
        <w:pBdr>
          <w:top w:val="nil"/>
          <w:left w:val="nil"/>
          <w:bottom w:val="nil"/>
          <w:right w:val="nil"/>
          <w:between w:val="nil"/>
        </w:pBdr>
        <w:spacing w:after="80"/>
      </w:pPr>
      <w:r>
        <w:rPr>
          <w:rFonts w:ascii="Cardo" w:eastAsia="Cardo" w:hAnsi="Cardo" w:cs="Cardo"/>
          <w:color w:val="000000"/>
        </w:rPr>
        <w:t>Dicionário de correspondência (variante → nome canônico), construído e ampliado ao longo do processo</w:t>
      </w:r>
    </w:p>
    <w:p w:rsidR="000B61A0" w:rsidRDefault="00DB6CEE">
      <w:pPr>
        <w:numPr>
          <w:ilvl w:val="0"/>
          <w:numId w:val="1"/>
        </w:numPr>
        <w:pBdr>
          <w:top w:val="nil"/>
          <w:left w:val="nil"/>
          <w:bottom w:val="nil"/>
          <w:right w:val="nil"/>
          <w:between w:val="nil"/>
        </w:pBdr>
        <w:spacing w:after="80"/>
      </w:pPr>
      <w:r>
        <w:rPr>
          <w:color w:val="000000"/>
        </w:rPr>
        <w:t xml:space="preserve">Enriquecimento via API pública gratuita de CEP (ex.: </w:t>
      </w:r>
      <w:proofErr w:type="spellStart"/>
      <w:r>
        <w:rPr>
          <w:color w:val="000000"/>
        </w:rPr>
        <w:t>ViaCEP</w:t>
      </w:r>
      <w:proofErr w:type="spellEnd"/>
      <w:r>
        <w:rPr>
          <w:color w:val="000000"/>
        </w:rPr>
        <w:t xml:space="preserve">, </w:t>
      </w:r>
      <w:proofErr w:type="spellStart"/>
      <w:r>
        <w:rPr>
          <w:color w:val="000000"/>
        </w:rPr>
        <w:t>BrasilAPI</w:t>
      </w:r>
      <w:proofErr w:type="spellEnd"/>
      <w:r>
        <w:rPr>
          <w:color w:val="000000"/>
        </w:rPr>
        <w:t>) como fonte de referência geográfica, com cache local dos resultados</w:t>
      </w:r>
    </w:p>
    <w:p w:rsidR="000B61A0" w:rsidRDefault="00DB6CEE">
      <w:pPr>
        <w:numPr>
          <w:ilvl w:val="0"/>
          <w:numId w:val="1"/>
        </w:numPr>
        <w:pBdr>
          <w:top w:val="nil"/>
          <w:left w:val="nil"/>
          <w:bottom w:val="nil"/>
          <w:right w:val="nil"/>
          <w:between w:val="nil"/>
        </w:pBdr>
        <w:spacing w:after="80"/>
      </w:pPr>
      <w:r>
        <w:rPr>
          <w:color w:val="000000"/>
        </w:rPr>
        <w:t xml:space="preserve">Critério explícito para lidar com divergências entre o bairro informado pelo cliente e o retornado pela consulta de </w:t>
      </w:r>
      <w:r>
        <w:rPr>
          <w:color w:val="000000"/>
        </w:rPr>
        <w:t>CEP</w:t>
      </w:r>
    </w:p>
    <w:p w:rsidR="000B61A0" w:rsidRDefault="00DB6CEE">
      <w:pPr>
        <w:numPr>
          <w:ilvl w:val="0"/>
          <w:numId w:val="1"/>
        </w:numPr>
        <w:pBdr>
          <w:top w:val="nil"/>
          <w:left w:val="nil"/>
          <w:bottom w:val="nil"/>
          <w:right w:val="nil"/>
          <w:between w:val="nil"/>
        </w:pBdr>
        <w:spacing w:after="80"/>
      </w:pPr>
      <w:r>
        <w:rPr>
          <w:color w:val="000000"/>
        </w:rPr>
        <w:t>Tratamento de campos adicionais sujos (telefone, CNPJ, datas), a critério da equipe</w:t>
      </w:r>
    </w:p>
    <w:p w:rsidR="000B61A0" w:rsidRDefault="00DB6CEE">
      <w:pPr>
        <w:pStyle w:val="Ttulo2"/>
        <w:spacing w:before="280" w:after="120"/>
      </w:pPr>
      <w:r>
        <w:rPr>
          <w:b/>
          <w:bCs/>
        </w:rPr>
        <w:lastRenderedPageBreak/>
        <w:t>Recursos de apoio disponibilizados</w:t>
      </w:r>
    </w:p>
    <w:p w:rsidR="000B61A0" w:rsidRDefault="00DB6CEE">
      <w:pPr>
        <w:numPr>
          <w:ilvl w:val="0"/>
          <w:numId w:val="1"/>
        </w:numPr>
        <w:pBdr>
          <w:top w:val="nil"/>
          <w:left w:val="nil"/>
          <w:bottom w:val="nil"/>
          <w:right w:val="nil"/>
          <w:between w:val="nil"/>
        </w:pBdr>
        <w:spacing w:after="80"/>
      </w:pPr>
      <w:proofErr w:type="spellStart"/>
      <w:r>
        <w:rPr>
          <w:color w:val="000000"/>
        </w:rPr>
        <w:t>Dataset</w:t>
      </w:r>
      <w:proofErr w:type="spellEnd"/>
      <w:r>
        <w:rPr>
          <w:color w:val="000000"/>
        </w:rPr>
        <w:t xml:space="preserve"> fictício de clientes da Distribuidora Vetor, com inconsistências propositalmente inseridas</w:t>
      </w:r>
    </w:p>
    <w:p w:rsidR="000B61A0" w:rsidRDefault="00DB6CEE">
      <w:pPr>
        <w:numPr>
          <w:ilvl w:val="0"/>
          <w:numId w:val="1"/>
        </w:numPr>
        <w:pBdr>
          <w:top w:val="nil"/>
          <w:left w:val="nil"/>
          <w:bottom w:val="nil"/>
          <w:right w:val="nil"/>
          <w:between w:val="nil"/>
        </w:pBdr>
        <w:spacing w:after="80"/>
      </w:pPr>
      <w:r>
        <w:rPr>
          <w:color w:val="000000"/>
        </w:rPr>
        <w:t>Ambiente com acesso à internet lib</w:t>
      </w:r>
      <w:r>
        <w:rPr>
          <w:color w:val="000000"/>
        </w:rPr>
        <w:t xml:space="preserve">erado, para eventual consumo de </w:t>
      </w:r>
      <w:proofErr w:type="spellStart"/>
      <w:r>
        <w:rPr>
          <w:color w:val="000000"/>
        </w:rPr>
        <w:t>APIs</w:t>
      </w:r>
      <w:proofErr w:type="spellEnd"/>
      <w:r>
        <w:rPr>
          <w:color w:val="000000"/>
        </w:rPr>
        <w:t xml:space="preserve"> públicas</w:t>
      </w:r>
    </w:p>
    <w:p w:rsidR="000B61A0" w:rsidRDefault="00DB6CEE">
      <w:pPr>
        <w:numPr>
          <w:ilvl w:val="0"/>
          <w:numId w:val="1"/>
        </w:numPr>
        <w:pBdr>
          <w:top w:val="nil"/>
          <w:left w:val="nil"/>
          <w:bottom w:val="nil"/>
          <w:right w:val="nil"/>
          <w:between w:val="nil"/>
        </w:pBdr>
        <w:spacing w:after="80"/>
      </w:pPr>
      <w:r>
        <w:rPr>
          <w:color w:val="000000"/>
        </w:rPr>
        <w:t>Ambiente de banco de dados (</w:t>
      </w:r>
      <w:proofErr w:type="spellStart"/>
      <w:r>
        <w:rPr>
          <w:color w:val="000000"/>
        </w:rPr>
        <w:t>PostgreSQL</w:t>
      </w:r>
      <w:proofErr w:type="spellEnd"/>
      <w:r>
        <w:rPr>
          <w:color w:val="000000"/>
        </w:rPr>
        <w:t xml:space="preserve"> local) para persistência</w:t>
      </w:r>
    </w:p>
    <w:p w:rsidR="000B61A0" w:rsidRDefault="00DB6CEE">
      <w:pPr>
        <w:numPr>
          <w:ilvl w:val="0"/>
          <w:numId w:val="1"/>
        </w:numPr>
        <w:pBdr>
          <w:top w:val="nil"/>
          <w:left w:val="nil"/>
          <w:bottom w:val="nil"/>
          <w:right w:val="nil"/>
          <w:between w:val="nil"/>
        </w:pBdr>
        <w:spacing w:after="80"/>
      </w:pPr>
      <w:r>
        <w:rPr>
          <w:color w:val="000000"/>
        </w:rPr>
        <w:t>Rubrica de avaliação (documento à parte)</w:t>
      </w:r>
    </w:p>
    <w:p w:rsidR="000B61A0" w:rsidRDefault="00DB6CEE">
      <w:pPr>
        <w:pStyle w:val="Ttulo2"/>
        <w:spacing w:before="280" w:after="120"/>
      </w:pPr>
      <w:r>
        <w:rPr>
          <w:b/>
          <w:bCs/>
        </w:rPr>
        <w:t>Restrições</w:t>
      </w:r>
    </w:p>
    <w:p w:rsidR="000B61A0" w:rsidRDefault="00DB6CEE">
      <w:pPr>
        <w:numPr>
          <w:ilvl w:val="0"/>
          <w:numId w:val="1"/>
        </w:numPr>
        <w:pBdr>
          <w:top w:val="nil"/>
          <w:left w:val="nil"/>
          <w:bottom w:val="nil"/>
          <w:right w:val="nil"/>
          <w:between w:val="nil"/>
        </w:pBdr>
        <w:spacing w:after="80"/>
      </w:pPr>
      <w:r>
        <w:rPr>
          <w:color w:val="000000"/>
        </w:rPr>
        <w:t xml:space="preserve">Não há acesso a dados ou sistemas reais da </w:t>
      </w:r>
      <w:proofErr w:type="spellStart"/>
      <w:r>
        <w:rPr>
          <w:color w:val="000000"/>
        </w:rPr>
        <w:t>Primora</w:t>
      </w:r>
      <w:proofErr w:type="spellEnd"/>
      <w:r>
        <w:rPr>
          <w:color w:val="000000"/>
        </w:rPr>
        <w:t xml:space="preserve"> — todo o cenário é fictício e autocontido</w:t>
      </w:r>
    </w:p>
    <w:p w:rsidR="000B61A0" w:rsidRDefault="00DB6CEE">
      <w:pPr>
        <w:numPr>
          <w:ilvl w:val="0"/>
          <w:numId w:val="1"/>
        </w:numPr>
        <w:pBdr>
          <w:top w:val="nil"/>
          <w:left w:val="nil"/>
          <w:bottom w:val="nil"/>
          <w:right w:val="nil"/>
          <w:between w:val="nil"/>
        </w:pBdr>
        <w:spacing w:after="80"/>
      </w:pPr>
      <w:r>
        <w:rPr>
          <w:color w:val="000000"/>
        </w:rPr>
        <w:t>Q</w:t>
      </w:r>
      <w:r>
        <w:rPr>
          <w:color w:val="000000"/>
        </w:rPr>
        <w:t xml:space="preserve">ualquer regra de negócio necessária ao desafio deve ser assumida e documentada pela própria equipe, não inferida de fontes externas à </w:t>
      </w:r>
      <w:proofErr w:type="spellStart"/>
      <w:r>
        <w:rPr>
          <w:color w:val="000000"/>
        </w:rPr>
        <w:t>Primora</w:t>
      </w:r>
      <w:proofErr w:type="spellEnd"/>
    </w:p>
    <w:p w:rsidR="000B61A0" w:rsidRDefault="00DB6CEE">
      <w:pPr>
        <w:pStyle w:val="Ttulo2"/>
        <w:spacing w:before="280" w:after="120"/>
      </w:pPr>
      <w:r>
        <w:rPr>
          <w:b/>
          <w:bCs/>
        </w:rPr>
        <w:t>Critérios de avaliação</w:t>
      </w:r>
    </w:p>
    <w:tbl>
      <w:tblPr>
        <w:tblStyle w:val="a"/>
        <w:tblW w:w="81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10"/>
        <w:gridCol w:w="4665"/>
      </w:tblGrid>
      <w:tr w:rsidR="000B61A0">
        <w:tc>
          <w:tcPr>
            <w:tcW w:w="3510" w:type="dxa"/>
            <w:shd w:val="clear" w:color="auto" w:fill="E6F4F2"/>
            <w:tcMar>
              <w:top w:w="100" w:type="dxa"/>
              <w:left w:w="120" w:type="dxa"/>
              <w:bottom w:w="100" w:type="dxa"/>
              <w:right w:w="120" w:type="dxa"/>
            </w:tcMar>
          </w:tcPr>
          <w:p w:rsidR="000B61A0" w:rsidRDefault="00DB6CEE">
            <w:r>
              <w:rPr>
                <w:b/>
                <w:bCs/>
              </w:rPr>
              <w:t>Critério</w:t>
            </w:r>
          </w:p>
        </w:tc>
        <w:tc>
          <w:tcPr>
            <w:tcW w:w="4665" w:type="dxa"/>
            <w:shd w:val="clear" w:color="auto" w:fill="E6F4F2"/>
            <w:tcMar>
              <w:top w:w="100" w:type="dxa"/>
              <w:left w:w="120" w:type="dxa"/>
              <w:bottom w:w="100" w:type="dxa"/>
              <w:right w:w="120" w:type="dxa"/>
            </w:tcMar>
          </w:tcPr>
          <w:p w:rsidR="000B61A0" w:rsidRDefault="00DB6CEE">
            <w:r>
              <w:rPr>
                <w:b/>
                <w:bCs/>
              </w:rPr>
              <w:t>O que observamos</w:t>
            </w:r>
          </w:p>
        </w:tc>
      </w:tr>
      <w:tr w:rsidR="000B61A0">
        <w:tc>
          <w:tcPr>
            <w:tcW w:w="3510" w:type="dxa"/>
            <w:tcMar>
              <w:top w:w="100" w:type="dxa"/>
              <w:left w:w="120" w:type="dxa"/>
              <w:bottom w:w="100" w:type="dxa"/>
              <w:right w:w="120" w:type="dxa"/>
            </w:tcMar>
          </w:tcPr>
          <w:p w:rsidR="000B61A0" w:rsidRDefault="00DB6CEE">
            <w:r>
              <w:rPr>
                <w:b/>
                <w:bCs/>
              </w:rPr>
              <w:t>Cobertura do tratamento</w:t>
            </w:r>
          </w:p>
        </w:tc>
        <w:tc>
          <w:tcPr>
            <w:tcW w:w="4665" w:type="dxa"/>
            <w:tcMar>
              <w:top w:w="100" w:type="dxa"/>
              <w:left w:w="120" w:type="dxa"/>
              <w:bottom w:w="100" w:type="dxa"/>
              <w:right w:w="120" w:type="dxa"/>
            </w:tcMar>
          </w:tcPr>
          <w:p w:rsidR="000B61A0" w:rsidRDefault="00DB6CEE">
            <w:r>
              <w:t>Proporção de inconsistências identificadas e efetivamente resolvidas na base final</w:t>
            </w:r>
          </w:p>
        </w:tc>
      </w:tr>
      <w:tr w:rsidR="000B61A0">
        <w:tc>
          <w:tcPr>
            <w:tcW w:w="3510" w:type="dxa"/>
            <w:tcMar>
              <w:top w:w="100" w:type="dxa"/>
              <w:left w:w="120" w:type="dxa"/>
              <w:bottom w:w="100" w:type="dxa"/>
              <w:right w:w="120" w:type="dxa"/>
            </w:tcMar>
          </w:tcPr>
          <w:p w:rsidR="000B61A0" w:rsidRDefault="00DB6CEE">
            <w:r>
              <w:rPr>
                <w:b/>
                <w:bCs/>
              </w:rPr>
              <w:t>Qualidade da decisão</w:t>
            </w:r>
          </w:p>
        </w:tc>
        <w:tc>
          <w:tcPr>
            <w:tcW w:w="4665" w:type="dxa"/>
            <w:tcMar>
              <w:top w:w="100" w:type="dxa"/>
              <w:left w:w="120" w:type="dxa"/>
              <w:bottom w:w="100" w:type="dxa"/>
              <w:right w:w="120" w:type="dxa"/>
            </w:tcMar>
          </w:tcPr>
          <w:p w:rsidR="000B61A0" w:rsidRDefault="00DB6CEE">
            <w:r>
              <w:t>Clareza e consistência dos critérios adotados para casos ambíguos ou conflitantes</w:t>
            </w:r>
          </w:p>
        </w:tc>
      </w:tr>
      <w:tr w:rsidR="000B61A0">
        <w:tc>
          <w:tcPr>
            <w:tcW w:w="3510" w:type="dxa"/>
            <w:tcMar>
              <w:top w:w="100" w:type="dxa"/>
              <w:left w:w="120" w:type="dxa"/>
              <w:bottom w:w="100" w:type="dxa"/>
              <w:right w:w="120" w:type="dxa"/>
            </w:tcMar>
          </w:tcPr>
          <w:p w:rsidR="000B61A0" w:rsidRDefault="00DB6CEE">
            <w:r>
              <w:rPr>
                <w:b/>
                <w:bCs/>
              </w:rPr>
              <w:t>Documentação e rastreabilidade</w:t>
            </w:r>
          </w:p>
        </w:tc>
        <w:tc>
          <w:tcPr>
            <w:tcW w:w="4665" w:type="dxa"/>
            <w:tcMar>
              <w:top w:w="100" w:type="dxa"/>
              <w:left w:w="120" w:type="dxa"/>
              <w:bottom w:w="100" w:type="dxa"/>
              <w:right w:w="120" w:type="dxa"/>
            </w:tcMar>
          </w:tcPr>
          <w:p w:rsidR="000B61A0" w:rsidRDefault="00DB6CEE">
            <w:r>
              <w:t>Capacidade de explicar, para qualquer</w:t>
            </w:r>
            <w:r>
              <w:t xml:space="preserve"> registro, por que ele ficou daquele jeito</w:t>
            </w:r>
          </w:p>
        </w:tc>
      </w:tr>
      <w:tr w:rsidR="000B61A0">
        <w:tc>
          <w:tcPr>
            <w:tcW w:w="3510" w:type="dxa"/>
            <w:tcMar>
              <w:top w:w="100" w:type="dxa"/>
              <w:left w:w="120" w:type="dxa"/>
              <w:bottom w:w="100" w:type="dxa"/>
              <w:right w:w="120" w:type="dxa"/>
            </w:tcMar>
          </w:tcPr>
          <w:p w:rsidR="000B61A0" w:rsidRDefault="00DB6CEE">
            <w:r>
              <w:rPr>
                <w:b/>
                <w:bCs/>
              </w:rPr>
              <w:t>Testes</w:t>
            </w:r>
          </w:p>
        </w:tc>
        <w:tc>
          <w:tcPr>
            <w:tcW w:w="4665" w:type="dxa"/>
            <w:tcMar>
              <w:top w:w="100" w:type="dxa"/>
              <w:left w:w="120" w:type="dxa"/>
              <w:bottom w:w="100" w:type="dxa"/>
              <w:right w:w="120" w:type="dxa"/>
            </w:tcMar>
          </w:tcPr>
          <w:p w:rsidR="000B61A0" w:rsidRDefault="00DB6CEE">
            <w:r>
              <w:t xml:space="preserve">Cobertura da lógica de normalização; uso de </w:t>
            </w:r>
            <w:proofErr w:type="spellStart"/>
            <w:r>
              <w:t>mocks</w:t>
            </w:r>
            <w:proofErr w:type="spellEnd"/>
            <w:r>
              <w:t xml:space="preserve"> para dependências externas</w:t>
            </w:r>
          </w:p>
        </w:tc>
      </w:tr>
      <w:tr w:rsidR="000B61A0">
        <w:tc>
          <w:tcPr>
            <w:tcW w:w="3510" w:type="dxa"/>
            <w:tcMar>
              <w:top w:w="100" w:type="dxa"/>
              <w:left w:w="120" w:type="dxa"/>
              <w:bottom w:w="100" w:type="dxa"/>
              <w:right w:w="120" w:type="dxa"/>
            </w:tcMar>
          </w:tcPr>
          <w:p w:rsidR="000B61A0" w:rsidRDefault="00DB6CEE">
            <w:r>
              <w:rPr>
                <w:b/>
                <w:bCs/>
              </w:rPr>
              <w:t>Comunicação</w:t>
            </w:r>
          </w:p>
        </w:tc>
        <w:tc>
          <w:tcPr>
            <w:tcW w:w="4665" w:type="dxa"/>
            <w:tcMar>
              <w:top w:w="100" w:type="dxa"/>
              <w:left w:w="120" w:type="dxa"/>
              <w:bottom w:w="100" w:type="dxa"/>
              <w:right w:w="120" w:type="dxa"/>
            </w:tcMar>
          </w:tcPr>
          <w:p w:rsidR="000B61A0" w:rsidRDefault="00DB6CEE">
            <w:r>
              <w:t>Qualidade do relatório de trade-</w:t>
            </w:r>
            <w:proofErr w:type="spellStart"/>
            <w:r>
              <w:t>offs</w:t>
            </w:r>
            <w:proofErr w:type="spellEnd"/>
            <w:r>
              <w:t xml:space="preserve"> — clareza para uma audiência não técnica</w:t>
            </w:r>
          </w:p>
        </w:tc>
      </w:tr>
    </w:tbl>
    <w:p w:rsidR="000B61A0" w:rsidRDefault="00DB6CEE">
      <w:pPr>
        <w:pStyle w:val="Ttulo2"/>
        <w:spacing w:before="280" w:after="120"/>
      </w:pPr>
      <w:r>
        <w:rPr>
          <w:b/>
          <w:bCs/>
        </w:rPr>
        <w:t>Formato e prazo</w:t>
      </w:r>
    </w:p>
    <w:p w:rsidR="000B61A0" w:rsidRDefault="00DB6CEE">
      <w:pPr>
        <w:spacing w:after="140"/>
      </w:pPr>
      <w:r>
        <w:t>Desafio conduzido em grupo, dentro do período do Projeto Integrador (~1 mês), em ambiente acadêmico simulado, sem aplicação em sistemas de produção.</w:t>
      </w:r>
    </w:p>
    <w:sectPr w:rsidR="000B61A0">
      <w:pgSz w:w="12240" w:h="15840"/>
      <w:pgMar w:top="1000" w:right="1100" w:bottom="1000" w:left="11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82E9DBE-C10C-4C82-BC0B-8B12E37F2946}"/>
  </w:font>
  <w:font w:name="Cardo">
    <w:charset w:val="00"/>
    <w:family w:val="auto"/>
    <w:pitch w:val="default"/>
    <w:embedRegular r:id="rId2" w:fontKey="{B083FF4F-10FE-4D98-A112-198429AC389D}"/>
  </w:font>
  <w:font w:name="Calibri">
    <w:panose1 w:val="020F0502020204030204"/>
    <w:charset w:val="00"/>
    <w:family w:val="swiss"/>
    <w:pitch w:val="variable"/>
    <w:sig w:usb0="E4002EFF" w:usb1="C200247B" w:usb2="00000009" w:usb3="00000000" w:csb0="000001FF" w:csb1="00000000"/>
    <w:embedRegular r:id="rId3" w:fontKey="{35394AE9-200B-4FB4-BE8C-87BD0EF24F6C}"/>
  </w:font>
  <w:font w:name="Cambria">
    <w:panose1 w:val="02040503050406030204"/>
    <w:charset w:val="00"/>
    <w:family w:val="roman"/>
    <w:pitch w:val="variable"/>
    <w:sig w:usb0="E00006FF" w:usb1="420024FF" w:usb2="02000000" w:usb3="00000000" w:csb0="0000019F" w:csb1="00000000"/>
    <w:embedRegular r:id="rId4" w:fontKey="{6548D855-F9BB-4F38-9435-0B2DE4685646}"/>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8A1E9B"/>
    <w:multiLevelType w:val="multilevel"/>
    <w:tmpl w:val="BB568074"/>
    <w:lvl w:ilvl="0">
      <w:start w:val="1"/>
      <w:numFmt w:val="bullet"/>
      <w:lvlText w:val="•"/>
      <w:lvlJc w:val="left"/>
      <w:pPr>
        <w:ind w:left="431" w:hanging="259"/>
      </w:pPr>
    </w:lvl>
    <w:lvl w:ilvl="1">
      <w:start w:val="1"/>
      <w:numFmt w:val="bullet"/>
      <w:lvlText w:val="◦"/>
      <w:lvlJc w:val="left"/>
      <w:pPr>
        <w:ind w:left="863" w:hanging="259"/>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1A0"/>
    <w:rsid w:val="000B61A0"/>
    <w:rsid w:val="00DB6C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3A5E22-47DB-4F63-AFAA-E4EEB66CC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pBdr>
        <w:top w:val="nil"/>
        <w:left w:val="nil"/>
        <w:bottom w:val="nil"/>
        <w:right w:val="nil"/>
        <w:between w:val="nil"/>
      </w:pBdr>
      <w:outlineLvl w:val="0"/>
    </w:pPr>
    <w:rPr>
      <w:color w:val="2E74B5"/>
      <w:sz w:val="32"/>
      <w:szCs w:val="32"/>
    </w:rPr>
  </w:style>
  <w:style w:type="paragraph" w:styleId="Ttulo2">
    <w:name w:val="heading 2"/>
    <w:basedOn w:val="Normal"/>
    <w:next w:val="Normal"/>
    <w:pPr>
      <w:pBdr>
        <w:top w:val="nil"/>
        <w:left w:val="nil"/>
        <w:bottom w:val="nil"/>
        <w:right w:val="nil"/>
        <w:between w:val="nil"/>
      </w:pBdr>
      <w:outlineLvl w:val="1"/>
    </w:pPr>
    <w:rPr>
      <w:color w:val="2E74B5"/>
      <w:sz w:val="26"/>
      <w:szCs w:val="26"/>
    </w:rPr>
  </w:style>
  <w:style w:type="paragraph" w:styleId="Ttulo3">
    <w:name w:val="heading 3"/>
    <w:basedOn w:val="Normal"/>
    <w:next w:val="Normal"/>
    <w:pPr>
      <w:pBdr>
        <w:top w:val="nil"/>
        <w:left w:val="nil"/>
        <w:bottom w:val="nil"/>
        <w:right w:val="nil"/>
        <w:between w:val="nil"/>
      </w:pBdr>
      <w:outlineLvl w:val="2"/>
    </w:pPr>
    <w:rPr>
      <w:color w:val="1F4D78"/>
      <w:sz w:val="24"/>
      <w:szCs w:val="24"/>
    </w:rPr>
  </w:style>
  <w:style w:type="paragraph" w:styleId="Ttulo4">
    <w:name w:val="heading 4"/>
    <w:basedOn w:val="Normal"/>
    <w:next w:val="Normal"/>
    <w:pPr>
      <w:pBdr>
        <w:top w:val="nil"/>
        <w:left w:val="nil"/>
        <w:bottom w:val="nil"/>
        <w:right w:val="nil"/>
        <w:between w:val="nil"/>
      </w:pBdr>
      <w:outlineLvl w:val="3"/>
    </w:pPr>
    <w:rPr>
      <w:i/>
      <w:iCs/>
      <w:color w:val="2E74B5"/>
    </w:rPr>
  </w:style>
  <w:style w:type="paragraph" w:styleId="Ttulo5">
    <w:name w:val="heading 5"/>
    <w:basedOn w:val="Normal"/>
    <w:next w:val="Normal"/>
    <w:pPr>
      <w:pBdr>
        <w:top w:val="nil"/>
        <w:left w:val="nil"/>
        <w:bottom w:val="nil"/>
        <w:right w:val="nil"/>
        <w:between w:val="nil"/>
      </w:pBdr>
      <w:outlineLvl w:val="4"/>
    </w:pPr>
    <w:rPr>
      <w:color w:val="2E74B5"/>
    </w:rPr>
  </w:style>
  <w:style w:type="paragraph" w:styleId="Ttulo6">
    <w:name w:val="heading 6"/>
    <w:basedOn w:val="Normal"/>
    <w:next w:val="Normal"/>
    <w:pPr>
      <w:pBdr>
        <w:top w:val="nil"/>
        <w:left w:val="nil"/>
        <w:bottom w:val="nil"/>
        <w:right w:val="nil"/>
        <w:between w:val="nil"/>
      </w:pBd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pBdr>
        <w:top w:val="nil"/>
        <w:left w:val="nil"/>
        <w:bottom w:val="nil"/>
        <w:right w:val="nil"/>
        <w:between w:val="nil"/>
      </w:pBdr>
    </w:pPr>
    <w:rPr>
      <w:color w:val="000000"/>
      <w:sz w:val="56"/>
      <w:szCs w:val="56"/>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688</Words>
  <Characters>3716</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Instituto Federal de Brasilia</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Wellyelton Gualberto de Brito Rodrigues</dc:creator>
  <cp:lastModifiedBy>Wellyelton Gualberto de Brito Rodrigues</cp:lastModifiedBy>
  <cp:revision>2</cp:revision>
  <cp:lastPrinted>2026-10-27T16:56:00Z</cp:lastPrinted>
  <dcterms:created xsi:type="dcterms:W3CDTF">2026-10-27T16:56:00Z</dcterms:created>
  <dcterms:modified xsi:type="dcterms:W3CDTF">2026-10-27T16:57:00Z</dcterms:modified>
</cp:coreProperties>
</file>