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Assignment 3: Data Collection Report &amp; Research Readiness</w:t>
      </w:r>
    </w:p>
    <w:p>
      <w:pPr>
        <w:jc w:val="center"/>
      </w:pPr>
      <w:r>
        <w:rPr>
          <w:sz w:val="24"/>
        </w:rPr>
        <w:t>Welt (Zicheng Peng)</w:t>
      </w:r>
    </w:p>
    <w:p>
      <w:pPr>
        <w:jc w:val="center"/>
      </w:pPr>
      <w:r>
        <w:rPr>
          <w:sz w:val="24"/>
        </w:rPr>
        <w:t>MGS 3001 - Empirical Analysis of AI Impact</w:t>
      </w:r>
      <w:r>
        <w:rPr>
          <w:sz w:val="24"/>
        </w:rPr>
        <w:br/>
        <w:t>NYU Shanghai | Spring 2026</w:t>
      </w:r>
    </w:p>
    <w:p>
      <w:pPr>
        <w:pStyle w:val="Heading2"/>
      </w:pPr>
      <w:r>
        <w:t>1. Research Question</w:t>
      </w:r>
    </w:p>
    <w:p>
      <w:r>
        <w:t>Can machine learning algorithms, trained on publicly available blockchain transaction data, accurately identify informed traders in decentralized prediction markets, and does a strategy based on these AI-generated signals produce statistically significant ranking lift over random selection?</w:t>
      </w:r>
    </w:p>
    <w:p>
      <w:r>
        <w:t>This research examines the intersection of AI and financial market microstructure. Prediction markets aggregate information through prices, but some traders consistently outperform, suggesting superior information processing. We use behavioral features derived from on-chain transaction data to predict which traders will achieve above-threshold future returns, providing evidence on whether AI can extract actionable signals from decentralized market data.</w:t>
      </w:r>
    </w:p>
    <w:p>
      <w:pPr>
        <w:pStyle w:val="Heading2"/>
      </w:pPr>
      <w:r>
        <w:t>2. Data Collection Summary</w:t>
      </w:r>
    </w:p>
    <w:p>
      <w:r>
        <w:t>Data was collected from Polymarket, the largest decentralized prediction market platform, operating on the Polygon blockchain. Two public API endpoints were used:</w:t>
      </w:r>
    </w:p>
    <w:p>
      <w:pPr>
        <w:pStyle w:val="ListBullet"/>
      </w:pPr>
      <w:r>
        <w:rPr>
          <w:b/>
        </w:rPr>
        <w:t xml:space="preserve">Trade API </w:t>
      </w:r>
      <w:r>
        <w:t>(data-api.polymarket.com/trades): Provides the global feed of all executed trades with transaction hash, wallet address, market ID, trade direction, amount, price, timestamp, and outcome token.</w:t>
      </w:r>
    </w:p>
    <w:p>
      <w:pPr>
        <w:pStyle w:val="ListBullet"/>
      </w:pPr>
      <w:r>
        <w:rPr>
          <w:b/>
        </w:rPr>
        <w:t xml:space="preserve">CLOB API </w:t>
      </w:r>
      <w:r>
        <w:t>(clob.polymarket.com/markets/{conditionId}): Provides market metadata and resolution status, including an explicit winner boolean per outcome token.</w:t>
      </w:r>
    </w:p>
    <w:p>
      <w:r>
        <w:t>No authentication or API keys are required. Data was collected via REST API polling with 0.25-second rate limiting between requests. The collection period spans March 18 to May 15, 2026 (approximately 8 weeks), resulting in 1,706,505 transactions across 203,300 unique wallet addresses and 96,884 prediction markets.</w:t>
      </w:r>
    </w:p>
    <w:p>
      <w:pPr>
        <w:pStyle w:val="Heading3"/>
      </w:pPr>
      <w:r>
        <w:t>Challenges and Solutions</w:t>
      </w:r>
    </w:p>
    <w:tbl>
      <w:tblPr>
        <w:tblStyle w:val="TableGrid"/>
        <w:tblW w:type="auto" w:w="0"/>
        <w:tblLook w:firstColumn="1" w:firstRow="1" w:lastColumn="0" w:lastRow="0" w:noHBand="0" w:noVBand="1" w:val="04A0"/>
      </w:tblPr>
      <w:tblGrid>
        <w:gridCol w:w="4320"/>
        <w:gridCol w:w="4320"/>
      </w:tblGrid>
      <w:tr>
        <w:tc>
          <w:tcPr>
            <w:tcW w:type="dxa" w:w="4320"/>
          </w:tcPr>
          <w:p>
            <w:r>
              <w:rPr>
                <w:b/>
              </w:rPr>
              <w:t>Challenge</w:t>
            </w:r>
          </w:p>
        </w:tc>
        <w:tc>
          <w:tcPr>
            <w:tcW w:type="dxa" w:w="4320"/>
          </w:tcPr>
          <w:p>
            <w:r>
              <w:rPr>
                <w:b/>
              </w:rPr>
              <w:t>Solution</w:t>
            </w:r>
          </w:p>
        </w:tc>
      </w:tr>
      <w:tr>
        <w:tc>
          <w:tcPr>
            <w:tcW w:type="dxa" w:w="4320"/>
          </w:tcPr>
          <w:p>
            <w:r>
              <w:t>Gamma API resolution bug: the conditionId query parameter was non-functional, causing all markets to resolve incorrectly as "Yes"</w:t>
            </w:r>
          </w:p>
        </w:tc>
        <w:tc>
          <w:tcPr>
            <w:tcW w:type="dxa" w:w="4320"/>
          </w:tcPr>
          <w:p>
            <w:r>
              <w:t>Discovered the bug through systematic validation; switched to the CLOB API which provides explicit winner booleans per token</w:t>
            </w:r>
          </w:p>
        </w:tc>
      </w:tr>
      <w:tr>
        <w:tc>
          <w:tcPr>
            <w:tcW w:type="dxa" w:w="4320"/>
          </w:tcPr>
          <w:p>
            <w:r>
              <w:t>CLOB API rate limiting: HTTP 429 errors at high concurrency</w:t>
            </w:r>
          </w:p>
        </w:tc>
        <w:tc>
          <w:tcPr>
            <w:tcW w:type="dxa" w:w="4320"/>
          </w:tcPr>
          <w:p>
            <w:r>
              <w:t>Reduced concurrent workers from 10 to 5; added exponential backoff retry logic (1.5s per attempt, max 3 retries)</w:t>
            </w:r>
          </w:p>
        </w:tc>
      </w:tr>
      <w:tr>
        <w:tc>
          <w:tcPr>
            <w:tcW w:type="dxa" w:w="4320"/>
          </w:tcPr>
          <w:p>
            <w:r>
              <w:t>Large dataset exceeds GitHub limits (~834 MB)</w:t>
            </w:r>
          </w:p>
        </w:tc>
        <w:tc>
          <w:tcPr>
            <w:tcW w:type="dxa" w:w="4320"/>
          </w:tcPr>
          <w:p>
            <w:r>
              <w:t>Full dataset stored as local SQLite database; 1,000-row representative sample committed to repository</w:t>
            </w:r>
          </w:p>
        </w:tc>
      </w:tr>
    </w:tbl>
    <w:p>
      <w:pPr>
        <w:pStyle w:val="Heading2"/>
      </w:pPr>
      <w:r>
        <w:t>3. Dataset Overview</w:t>
      </w:r>
    </w:p>
    <w:p>
      <w:r>
        <w:t>The dataset contains 8 core variables per transaction: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Type</w:t>
            </w:r>
          </w:p>
        </w:tc>
        <w:tc>
          <w:tcPr>
            <w:tcW w:type="dxa" w:w="2160"/>
          </w:tcPr>
          <w:p>
            <w:r>
              <w:rPr>
                <w:b/>
              </w:rPr>
              <w:t>Description</w:t>
            </w:r>
          </w:p>
        </w:tc>
        <w:tc>
          <w:tcPr>
            <w:tcW w:type="dxa" w:w="2160"/>
          </w:tcPr>
          <w:p>
            <w:r>
              <w:rPr>
                <w:b/>
              </w:rPr>
              <w:t>Example</w:t>
            </w:r>
          </w:p>
        </w:tc>
      </w:tr>
      <w:tr>
        <w:tc>
          <w:tcPr>
            <w:tcW w:type="dxa" w:w="2160"/>
          </w:tcPr>
          <w:p>
            <w:r>
              <w:t>transaction_id</w:t>
            </w:r>
          </w:p>
        </w:tc>
        <w:tc>
          <w:tcPr>
            <w:tcW w:type="dxa" w:w="2160"/>
          </w:tcPr>
          <w:p>
            <w:r>
              <w:t>String</w:t>
            </w:r>
          </w:p>
        </w:tc>
        <w:tc>
          <w:tcPr>
            <w:tcW w:type="dxa" w:w="2160"/>
          </w:tcPr>
          <w:p>
            <w:r>
              <w:t>Unique blockchain tx hash</w:t>
            </w:r>
          </w:p>
        </w:tc>
        <w:tc>
          <w:tcPr>
            <w:tcW w:type="dxa" w:w="2160"/>
          </w:tcPr>
          <w:p>
            <w:r>
              <w:t>0x7a8f...</w:t>
            </w:r>
          </w:p>
        </w:tc>
      </w:tr>
      <w:tr>
        <w:tc>
          <w:tcPr>
            <w:tcW w:type="dxa" w:w="2160"/>
          </w:tcPr>
          <w:p>
            <w:r>
              <w:t>address</w:t>
            </w:r>
          </w:p>
        </w:tc>
        <w:tc>
          <w:tcPr>
            <w:tcW w:type="dxa" w:w="2160"/>
          </w:tcPr>
          <w:p>
            <w:r>
              <w:t>String</w:t>
            </w:r>
          </w:p>
        </w:tc>
        <w:tc>
          <w:tcPr>
            <w:tcW w:type="dxa" w:w="2160"/>
          </w:tcPr>
          <w:p>
            <w:r>
              <w:t>Trader wallet address</w:t>
            </w:r>
          </w:p>
        </w:tc>
        <w:tc>
          <w:tcPr>
            <w:tcW w:type="dxa" w:w="2160"/>
          </w:tcPr>
          <w:p>
            <w:r>
              <w:t>0xabc1...</w:t>
            </w:r>
          </w:p>
        </w:tc>
      </w:tr>
      <w:tr>
        <w:tc>
          <w:tcPr>
            <w:tcW w:type="dxa" w:w="2160"/>
          </w:tcPr>
          <w:p>
            <w:r>
              <w:t>market_id</w:t>
            </w:r>
          </w:p>
        </w:tc>
        <w:tc>
          <w:tcPr>
            <w:tcW w:type="dxa" w:w="2160"/>
          </w:tcPr>
          <w:p>
            <w:r>
              <w:t>String</w:t>
            </w:r>
          </w:p>
        </w:tc>
        <w:tc>
          <w:tcPr>
            <w:tcW w:type="dxa" w:w="2160"/>
          </w:tcPr>
          <w:p>
            <w:r>
              <w:t>Market condition ID</w:t>
            </w:r>
          </w:p>
        </w:tc>
        <w:tc>
          <w:tcPr>
            <w:tcW w:type="dxa" w:w="2160"/>
          </w:tcPr>
          <w:p>
            <w:r>
              <w:t>0x1234...</w:t>
            </w:r>
          </w:p>
        </w:tc>
      </w:tr>
      <w:tr>
        <w:tc>
          <w:tcPr>
            <w:tcW w:type="dxa" w:w="2160"/>
          </w:tcPr>
          <w:p>
            <w:r>
              <w:t>side</w:t>
            </w:r>
          </w:p>
        </w:tc>
        <w:tc>
          <w:tcPr>
            <w:tcW w:type="dxa" w:w="2160"/>
          </w:tcPr>
          <w:p>
            <w:r>
              <w:t>String</w:t>
            </w:r>
          </w:p>
        </w:tc>
        <w:tc>
          <w:tcPr>
            <w:tcW w:type="dxa" w:w="2160"/>
          </w:tcPr>
          <w:p>
            <w:r>
              <w:t>Trade direction</w:t>
            </w:r>
          </w:p>
        </w:tc>
        <w:tc>
          <w:tcPr>
            <w:tcW w:type="dxa" w:w="2160"/>
          </w:tcPr>
          <w:p>
            <w:r>
              <w:t>BUY / SELL</w:t>
            </w:r>
          </w:p>
        </w:tc>
      </w:tr>
      <w:tr>
        <w:tc>
          <w:tcPr>
            <w:tcW w:type="dxa" w:w="2160"/>
          </w:tcPr>
          <w:p>
            <w:r>
              <w:t>amount</w:t>
            </w:r>
          </w:p>
        </w:tc>
        <w:tc>
          <w:tcPr>
            <w:tcW w:type="dxa" w:w="2160"/>
          </w:tcPr>
          <w:p>
            <w:r>
              <w:t>Float</w:t>
            </w:r>
          </w:p>
        </w:tc>
        <w:tc>
          <w:tcPr>
            <w:tcW w:type="dxa" w:w="2160"/>
          </w:tcPr>
          <w:p>
            <w:r>
              <w:t>Trade size in USDC</w:t>
            </w:r>
          </w:p>
        </w:tc>
        <w:tc>
          <w:tcPr>
            <w:tcW w:type="dxa" w:w="2160"/>
          </w:tcPr>
          <w:p>
            <w:r>
              <w:t>150.50</w:t>
            </w:r>
          </w:p>
        </w:tc>
      </w:tr>
      <w:tr>
        <w:tc>
          <w:tcPr>
            <w:tcW w:type="dxa" w:w="2160"/>
          </w:tcPr>
          <w:p>
            <w:r>
              <w:t>price</w:t>
            </w:r>
          </w:p>
        </w:tc>
        <w:tc>
          <w:tcPr>
            <w:tcW w:type="dxa" w:w="2160"/>
          </w:tcPr>
          <w:p>
            <w:r>
              <w:t>Float</w:t>
            </w:r>
          </w:p>
        </w:tc>
        <w:tc>
          <w:tcPr>
            <w:tcW w:type="dxa" w:w="2160"/>
          </w:tcPr>
          <w:p>
            <w:r>
              <w:t>Share price (0-1)</w:t>
            </w:r>
          </w:p>
        </w:tc>
        <w:tc>
          <w:tcPr>
            <w:tcW w:type="dxa" w:w="2160"/>
          </w:tcPr>
          <w:p>
            <w:r>
              <w:t>0.65</w:t>
            </w:r>
          </w:p>
        </w:tc>
      </w:tr>
      <w:tr>
        <w:tc>
          <w:tcPr>
            <w:tcW w:type="dxa" w:w="2160"/>
          </w:tcPr>
          <w:p>
            <w:r>
              <w:t>timestamp</w:t>
            </w:r>
          </w:p>
        </w:tc>
        <w:tc>
          <w:tcPr>
            <w:tcW w:type="dxa" w:w="2160"/>
          </w:tcPr>
          <w:p>
            <w:r>
              <w:t>ISO 8601</w:t>
            </w:r>
          </w:p>
        </w:tc>
        <w:tc>
          <w:tcPr>
            <w:tcW w:type="dxa" w:w="2160"/>
          </w:tcPr>
          <w:p>
            <w:r>
              <w:t>Execution time (UTC)</w:t>
            </w:r>
          </w:p>
        </w:tc>
        <w:tc>
          <w:tcPr>
            <w:tcW w:type="dxa" w:w="2160"/>
          </w:tcPr>
          <w:p>
            <w:r>
              <w:t>2026-03-18T00:57:21Z</w:t>
            </w:r>
          </w:p>
        </w:tc>
      </w:tr>
      <w:tr>
        <w:tc>
          <w:tcPr>
            <w:tcW w:type="dxa" w:w="2160"/>
          </w:tcPr>
          <w:p>
            <w:r>
              <w:t>outcome</w:t>
            </w:r>
          </w:p>
        </w:tc>
        <w:tc>
          <w:tcPr>
            <w:tcW w:type="dxa" w:w="2160"/>
          </w:tcPr>
          <w:p>
            <w:r>
              <w:t>String</w:t>
            </w:r>
          </w:p>
        </w:tc>
        <w:tc>
          <w:tcPr>
            <w:tcW w:type="dxa" w:w="2160"/>
          </w:tcPr>
          <w:p>
            <w:r>
              <w:t>Position outcome token</w:t>
            </w:r>
          </w:p>
        </w:tc>
        <w:tc>
          <w:tcPr>
            <w:tcW w:type="dxa" w:w="2160"/>
          </w:tcPr>
          <w:p>
            <w:r>
              <w:t>Yes, No, Up, Down</w:t>
            </w:r>
          </w:p>
        </w:tc>
      </w:tr>
    </w:tbl>
    <w:p>
      <w:pPr>
        <w:pStyle w:val="Heading3"/>
      </w:pPr>
      <w:r>
        <w:t>Descriptive Statistics (Numeric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amount (USDC)</w:t>
            </w:r>
          </w:p>
        </w:tc>
        <w:tc>
          <w:tcPr>
            <w:tcW w:type="dxa" w:w="2880"/>
          </w:tcPr>
          <w:p>
            <w:r>
              <w:rPr>
                <w:b/>
              </w:rPr>
              <w:t>price (probability)</w:t>
            </w:r>
          </w:p>
        </w:tc>
      </w:tr>
      <w:tr>
        <w:tc>
          <w:tcPr>
            <w:tcW w:type="dxa" w:w="2880"/>
          </w:tcPr>
          <w:p>
            <w:r>
              <w:t>Count</w:t>
            </w:r>
          </w:p>
        </w:tc>
        <w:tc>
          <w:tcPr>
            <w:tcW w:type="dxa" w:w="2880"/>
          </w:tcPr>
          <w:p>
            <w:r>
              <w:t>1,706,505</w:t>
            </w:r>
          </w:p>
        </w:tc>
        <w:tc>
          <w:tcPr>
            <w:tcW w:type="dxa" w:w="2880"/>
          </w:tcPr>
          <w:p>
            <w:r>
              <w:t>1,706,505</w:t>
            </w:r>
          </w:p>
        </w:tc>
      </w:tr>
      <w:tr>
        <w:tc>
          <w:tcPr>
            <w:tcW w:type="dxa" w:w="2880"/>
          </w:tcPr>
          <w:p>
            <w:r>
              <w:t>Mean</w:t>
            </w:r>
          </w:p>
        </w:tc>
        <w:tc>
          <w:tcPr>
            <w:tcW w:type="dxa" w:w="2880"/>
          </w:tcPr>
          <w:p>
            <w:r>
              <w:t>49.23</w:t>
            </w:r>
          </w:p>
        </w:tc>
        <w:tc>
          <w:tcPr>
            <w:tcW w:type="dxa" w:w="2880"/>
          </w:tcPr>
          <w:p>
            <w:r>
              <w:t>0.59</w:t>
            </w:r>
          </w:p>
        </w:tc>
      </w:tr>
      <w:tr>
        <w:tc>
          <w:tcPr>
            <w:tcW w:type="dxa" w:w="2880"/>
          </w:tcPr>
          <w:p>
            <w:r>
              <w:t>Std</w:t>
            </w:r>
          </w:p>
        </w:tc>
        <w:tc>
          <w:tcPr>
            <w:tcW w:type="dxa" w:w="2880"/>
          </w:tcPr>
          <w:p>
            <w:r>
              <w:t>472.81</w:t>
            </w:r>
          </w:p>
        </w:tc>
        <w:tc>
          <w:tcPr>
            <w:tcW w:type="dxa" w:w="2880"/>
          </w:tcPr>
          <w:p>
            <w:r>
              <w:t>0.30</w:t>
            </w:r>
          </w:p>
        </w:tc>
      </w:tr>
      <w:tr>
        <w:tc>
          <w:tcPr>
            <w:tcW w:type="dxa" w:w="2880"/>
          </w:tcPr>
          <w:p>
            <w:r>
              <w:t>Min</w:t>
            </w:r>
          </w:p>
        </w:tc>
        <w:tc>
          <w:tcPr>
            <w:tcW w:type="dxa" w:w="2880"/>
          </w:tcPr>
          <w:p>
            <w:r>
              <w:t>0.01</w:t>
            </w:r>
          </w:p>
        </w:tc>
        <w:tc>
          <w:tcPr>
            <w:tcW w:type="dxa" w:w="2880"/>
          </w:tcPr>
          <w:p>
            <w:r>
              <w:t>0.001</w:t>
            </w:r>
          </w:p>
        </w:tc>
      </w:tr>
      <w:tr>
        <w:tc>
          <w:tcPr>
            <w:tcW w:type="dxa" w:w="2880"/>
          </w:tcPr>
          <w:p>
            <w:r>
              <w:t>25th pctl</w:t>
            </w:r>
          </w:p>
        </w:tc>
        <w:tc>
          <w:tcPr>
            <w:tcW w:type="dxa" w:w="2880"/>
          </w:tcPr>
          <w:p>
            <w:r>
              <w:t>4.85</w:t>
            </w:r>
          </w:p>
        </w:tc>
        <w:tc>
          <w:tcPr>
            <w:tcW w:type="dxa" w:w="2880"/>
          </w:tcPr>
          <w:p>
            <w:r>
              <w:t>0.37</w:t>
            </w:r>
          </w:p>
        </w:tc>
      </w:tr>
      <w:tr>
        <w:tc>
          <w:tcPr>
            <w:tcW w:type="dxa" w:w="2880"/>
          </w:tcPr>
          <w:p>
            <w:r>
              <w:t>Median</w:t>
            </w:r>
          </w:p>
        </w:tc>
        <w:tc>
          <w:tcPr>
            <w:tcW w:type="dxa" w:w="2880"/>
          </w:tcPr>
          <w:p>
            <w:r>
              <w:t>9.73</w:t>
            </w:r>
          </w:p>
        </w:tc>
        <w:tc>
          <w:tcPr>
            <w:tcW w:type="dxa" w:w="2880"/>
          </w:tcPr>
          <w:p>
            <w:r>
              <w:t>0.58</w:t>
            </w:r>
          </w:p>
        </w:tc>
      </w:tr>
      <w:tr>
        <w:tc>
          <w:tcPr>
            <w:tcW w:type="dxa" w:w="2880"/>
          </w:tcPr>
          <w:p>
            <w:r>
              <w:t>75th pctl</w:t>
            </w:r>
          </w:p>
        </w:tc>
        <w:tc>
          <w:tcPr>
            <w:tcW w:type="dxa" w:w="2880"/>
          </w:tcPr>
          <w:p>
            <w:r>
              <w:t>28.42</w:t>
            </w:r>
          </w:p>
        </w:tc>
        <w:tc>
          <w:tcPr>
            <w:tcW w:type="dxa" w:w="2880"/>
          </w:tcPr>
          <w:p>
            <w:r>
              <w:t>0.87</w:t>
            </w:r>
          </w:p>
        </w:tc>
      </w:tr>
      <w:tr>
        <w:tc>
          <w:tcPr>
            <w:tcW w:type="dxa" w:w="2880"/>
          </w:tcPr>
          <w:p>
            <w:r>
              <w:t>Max</w:t>
            </w:r>
          </w:p>
        </w:tc>
        <w:tc>
          <w:tcPr>
            <w:tcW w:type="dxa" w:w="2880"/>
          </w:tcPr>
          <w:p>
            <w:r>
              <w:t>50,000+</w:t>
            </w:r>
          </w:p>
        </w:tc>
        <w:tc>
          <w:tcPr>
            <w:tcW w:type="dxa" w:w="2880"/>
          </w:tcPr>
          <w:p>
            <w:r>
              <w:t>0.999</w:t>
            </w:r>
          </w:p>
        </w:tc>
      </w:tr>
    </w:tbl>
    <w:p>
      <w:r>
        <w:t>The outcome variable shows diverse distributions beyond binary Yes/No: Up (32.5%), Down (31.6%), No (12.9%), Yes (10.4%), and various team names, Over/Under categories (12.6%). This diversity was only revealed after fixing the Gamma API resolution bug in Phase 26 of the project.</w:t>
      </w:r>
    </w:p>
    <w:p>
      <w:pPr>
        <w:pStyle w:val="Heading3"/>
      </w:pPr>
      <w:r>
        <w:t>Data Quality Notes</w:t>
      </w:r>
    </w:p>
    <w:p>
      <w:r>
        <w:t>Three transactions have missing outcome values (99.9998% non-missing rate). Resolution coverage is 99.8% of all markets, with only 50 markets (0.05%) failing CLOB lookup. No duplicate transaction IDs exist in the cleaned dataset. Ten automated data quality gates continuously verify these properties.</w:t>
      </w:r>
    </w:p>
    <w:p>
      <w:pPr>
        <w:pStyle w:val="Heading2"/>
      </w:pPr>
      <w:r>
        <w:t>4. Research Readiness Assessment</w:t>
      </w:r>
    </w:p>
    <w:p>
      <w:pPr>
        <w:pStyle w:val="Heading3"/>
      </w:pPr>
      <w:r>
        <w:t>Mapping to Research Question and Hypotheses</w:t>
      </w:r>
    </w:p>
    <w:p>
      <w:r>
        <w:t>The collected data fully supports the research question. We have 1.7 million transactions from 203,300 traders across 96,884 markets, with 89,597 markets verified as closed with definitive outcomes. The temporal walk-forward split produces 13,654 training, 1,119 validation, and 1,026 test wallets with approximately 20% positive rate, providing sufficient statistical power for ML classification and hypothesis testing.</w:t>
      </w:r>
    </w:p>
    <w:p>
      <w:pPr>
        <w:pStyle w:val="Heading3"/>
      </w:pPr>
      <w:r>
        <w:t>Analysis Steps Completed</w:t>
      </w:r>
    </w:p>
    <w:p>
      <w:pPr>
        <w:pStyle w:val="ListBullet"/>
      </w:pPr>
      <w:r>
        <w:t>Data collection and provenance verification (SHA-256 integrity)</w:t>
      </w:r>
    </w:p>
    <w:p>
      <w:pPr>
        <w:pStyle w:val="ListBullet"/>
      </w:pPr>
      <w:r>
        <w:t>Market resolution via CLOB API with full coverage verification</w:t>
      </w:r>
    </w:p>
    <w:p>
      <w:pPr>
        <w:pStyle w:val="ListBullet"/>
      </w:pPr>
      <w:r>
        <w:t>Feature engineering: 7 behavioral features per trader</w:t>
      </w:r>
    </w:p>
    <w:p>
      <w:pPr>
        <w:pStyle w:val="ListBullet"/>
      </w:pPr>
      <w:r>
        <w:t>Future-return labeling: forward-looking ROI as independent label</w:t>
      </w:r>
    </w:p>
    <w:p>
      <w:pPr>
        <w:pStyle w:val="ListBullet"/>
      </w:pPr>
      <w:r>
        <w:t>Temporal walk-forward train/val/test split preventing data leakage</w:t>
      </w:r>
    </w:p>
    <w:p>
      <w:pPr>
        <w:pStyle w:val="ListBullet"/>
      </w:pPr>
      <w:r>
        <w:t>Model training: 5 classifiers + 2 baselines evaluated</w:t>
      </w:r>
    </w:p>
    <w:p>
      <w:pPr>
        <w:pStyle w:val="ListBullet"/>
      </w:pPr>
      <w:r>
        <w:t>Threshold policy analysis: top-k and top-percentile selection strategies</w:t>
      </w:r>
    </w:p>
    <w:p>
      <w:pPr>
        <w:pStyle w:val="Heading3"/>
      </w:pPr>
      <w:r>
        <w:t>Next Steps</w:t>
      </w:r>
    </w:p>
    <w:p>
      <w:pPr>
        <w:pStyle w:val="ListBullet"/>
      </w:pPr>
      <w:r>
        <w:t>Feature engineering expansion (additional behavioral signals)</w:t>
      </w:r>
    </w:p>
    <w:p>
      <w:pPr>
        <w:pStyle w:val="ListBullet"/>
      </w:pPr>
      <w:r>
        <w:t>Alternative label definitions for robustness (Sharpe-based, drawdown-adjusted)</w:t>
      </w:r>
    </w:p>
    <w:p>
      <w:pPr>
        <w:pStyle w:val="ListBullet"/>
      </w:pPr>
      <w:r>
        <w:t>Formal hypothesis testing with bootstrap confidence intervals</w:t>
      </w:r>
    </w:p>
    <w:p>
      <w:pPr>
        <w:pStyle w:val="ListBullet"/>
      </w:pPr>
      <w:r>
        <w:t>Final paper writing with honest reporting of modest but real results</w:t>
      </w:r>
    </w:p>
    <w:p>
      <w:pPr>
        <w:pStyle w:val="Heading3"/>
      </w:pPr>
      <w:r>
        <w:t>Gaps Between Plan and Execution</w:t>
      </w:r>
    </w:p>
    <w:p>
      <w:r>
        <w:t>The primary gap is model performance. The best model (XGBoost, AUC-ROC = 0.593) provides a modest ranking signal (1.24x precision lift at top-10%) but does not achieve the high precision initially hypothesized. This is an honest finding: future-return prediction in prediction markets is inherently difficult, and the research contribution lies in the rigorous methodology rather than a strong alpha signal. The pipeline includes 60 automated tests and 10 data quality gates ensuring full reproducibility.</w:t>
      </w:r>
    </w:p>
    <w:p>
      <w:pPr>
        <w:pStyle w:val="Heading2"/>
      </w:pPr>
      <w:r>
        <w:t>5. GitHub Repository Link</w:t>
      </w:r>
    </w:p>
    <w:p>
      <w:r>
        <w:t>https://github.com/WeltPRICKETT/polymarket_alpha_research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