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86" w:rsidRDefault="00990286" w:rsidP="00990286">
      <w:pPr>
        <w:jc w:val="right"/>
      </w:pPr>
      <w:r>
        <w:rPr>
          <w:noProof/>
          <w:lang w:eastAsia="en-GB"/>
        </w:rPr>
        <w:drawing>
          <wp:inline distT="0" distB="0" distL="0" distR="0" wp14:anchorId="0DC83135" wp14:editId="541472B4">
            <wp:extent cx="2819400" cy="771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771068"/>
                    </a:xfrm>
                    <a:prstGeom prst="rect">
                      <a:avLst/>
                    </a:prstGeom>
                    <a:noFill/>
                    <a:ln>
                      <a:noFill/>
                    </a:ln>
                  </pic:spPr>
                </pic:pic>
              </a:graphicData>
            </a:graphic>
          </wp:inline>
        </w:drawing>
      </w:r>
    </w:p>
    <w:p w:rsidR="00990286" w:rsidRDefault="00990286" w:rsidP="00990286">
      <w:pPr>
        <w:jc w:val="left"/>
      </w:pPr>
    </w:p>
    <w:p w:rsidR="00990286" w:rsidRDefault="00990286" w:rsidP="00990286">
      <w:pPr>
        <w:jc w:val="left"/>
      </w:pPr>
    </w:p>
    <w:p w:rsidR="00990286" w:rsidRDefault="00990286" w:rsidP="00990286">
      <w:pPr>
        <w:jc w:val="left"/>
      </w:pPr>
      <w:r>
        <w:rPr>
          <w:noProof/>
          <w:lang w:eastAsia="en-GB"/>
        </w:rPr>
        <w:drawing>
          <wp:inline distT="0" distB="0" distL="0" distR="0" wp14:anchorId="51169E56" wp14:editId="6BC51BD0">
            <wp:extent cx="5731510" cy="5347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3475"/>
                    </a:xfrm>
                    <a:prstGeom prst="rect">
                      <a:avLst/>
                    </a:prstGeom>
                    <a:noFill/>
                    <a:ln>
                      <a:noFill/>
                    </a:ln>
                  </pic:spPr>
                </pic:pic>
              </a:graphicData>
            </a:graphic>
          </wp:inline>
        </w:drawing>
      </w: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Pr="00990286" w:rsidRDefault="00990286" w:rsidP="00990286">
      <w:pPr>
        <w:jc w:val="center"/>
        <w:rPr>
          <w:b/>
          <w:sz w:val="56"/>
          <w:szCs w:val="56"/>
        </w:rPr>
      </w:pPr>
      <w:r w:rsidRPr="00990286">
        <w:rPr>
          <w:b/>
          <w:sz w:val="56"/>
          <w:szCs w:val="56"/>
        </w:rPr>
        <w:t>Scotland’s Census 2011</w:t>
      </w:r>
    </w:p>
    <w:p w:rsidR="00990286" w:rsidRDefault="00990286" w:rsidP="00990286">
      <w:pPr>
        <w:jc w:val="left"/>
      </w:pPr>
    </w:p>
    <w:p w:rsidR="00990286" w:rsidRDefault="00990286" w:rsidP="00990286">
      <w:pPr>
        <w:jc w:val="left"/>
      </w:pPr>
    </w:p>
    <w:p w:rsidR="00990286" w:rsidRDefault="00990286" w:rsidP="00990286">
      <w:pPr>
        <w:jc w:val="left"/>
      </w:pPr>
    </w:p>
    <w:p w:rsidR="00990286" w:rsidRPr="00990286" w:rsidRDefault="00990286" w:rsidP="00990286">
      <w:pPr>
        <w:jc w:val="center"/>
        <w:rPr>
          <w:b/>
          <w:sz w:val="40"/>
          <w:szCs w:val="40"/>
        </w:rPr>
      </w:pPr>
      <w:r w:rsidRPr="00990286">
        <w:rPr>
          <w:b/>
          <w:sz w:val="40"/>
          <w:szCs w:val="40"/>
        </w:rPr>
        <w:t>Microdata Teaching File</w:t>
      </w:r>
    </w:p>
    <w:p w:rsidR="00990286" w:rsidRDefault="00990286" w:rsidP="00990286">
      <w:pPr>
        <w:jc w:val="left"/>
      </w:pPr>
    </w:p>
    <w:p w:rsidR="00990286" w:rsidRDefault="00990286" w:rsidP="00990286">
      <w:pPr>
        <w:jc w:val="left"/>
      </w:pPr>
    </w:p>
    <w:p w:rsidR="00990286" w:rsidRPr="00DD7720" w:rsidRDefault="00DD7720" w:rsidP="00990286">
      <w:pPr>
        <w:jc w:val="center"/>
        <w:rPr>
          <w:b/>
          <w:sz w:val="40"/>
          <w:szCs w:val="40"/>
        </w:rPr>
      </w:pPr>
      <w:r w:rsidRPr="00DD7720">
        <w:rPr>
          <w:b/>
          <w:sz w:val="40"/>
          <w:szCs w:val="40"/>
        </w:rPr>
        <w:t>User Guide</w:t>
      </w:r>
    </w:p>
    <w:p w:rsidR="00990286" w:rsidRDefault="00990286" w:rsidP="00990286">
      <w:pPr>
        <w:jc w:val="left"/>
      </w:pPr>
    </w:p>
    <w:p w:rsidR="00990286" w:rsidRDefault="00990286" w:rsidP="00990286">
      <w:pPr>
        <w:jc w:val="left"/>
      </w:pPr>
    </w:p>
    <w:p w:rsidR="00990286" w:rsidRDefault="005850AC" w:rsidP="00DD7720">
      <w:pPr>
        <w:jc w:val="center"/>
      </w:pPr>
      <w:r>
        <w:t>June</w:t>
      </w:r>
      <w:r w:rsidR="00DD7720">
        <w:t xml:space="preserve"> 2014</w:t>
      </w: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990286" w:rsidP="00990286">
      <w:pPr>
        <w:jc w:val="left"/>
      </w:pPr>
    </w:p>
    <w:p w:rsidR="00990286" w:rsidRDefault="00DD7720" w:rsidP="00990286">
      <w:pPr>
        <w:jc w:val="left"/>
      </w:pPr>
      <w:r>
        <w:rPr>
          <w:noProof/>
          <w:lang w:eastAsia="en-GB"/>
        </w:rPr>
        <w:drawing>
          <wp:inline distT="0" distB="0" distL="0" distR="0" wp14:anchorId="4E2CEFA2" wp14:editId="2CF1EFDF">
            <wp:extent cx="2400300" cy="68016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680167"/>
                    </a:xfrm>
                    <a:prstGeom prst="rect">
                      <a:avLst/>
                    </a:prstGeom>
                    <a:noFill/>
                    <a:ln>
                      <a:noFill/>
                    </a:ln>
                  </pic:spPr>
                </pic:pic>
              </a:graphicData>
            </a:graphic>
          </wp:inline>
        </w:drawing>
      </w:r>
    </w:p>
    <w:p w:rsidR="008A5FAB" w:rsidRDefault="008A5FAB" w:rsidP="00990286">
      <w:pPr>
        <w:jc w:val="left"/>
      </w:pPr>
    </w:p>
    <w:sdt>
      <w:sdtPr>
        <w:rPr>
          <w:rFonts w:ascii="Arial" w:eastAsia="Times New Roman" w:hAnsi="Arial" w:cs="Times New Roman"/>
          <w:b w:val="0"/>
          <w:bCs w:val="0"/>
          <w:color w:val="auto"/>
          <w:sz w:val="24"/>
          <w:szCs w:val="20"/>
          <w:lang w:val="en-GB" w:eastAsia="en-US"/>
        </w:rPr>
        <w:id w:val="-540826011"/>
        <w:docPartObj>
          <w:docPartGallery w:val="Table of Contents"/>
          <w:docPartUnique/>
        </w:docPartObj>
      </w:sdtPr>
      <w:sdtEndPr>
        <w:rPr>
          <w:noProof/>
        </w:rPr>
      </w:sdtEndPr>
      <w:sdtContent>
        <w:p w:rsidR="00EB5EBB" w:rsidRDefault="00EB5EBB">
          <w:pPr>
            <w:pStyle w:val="TOCHeading"/>
          </w:pPr>
          <w:r>
            <w:t>Contents</w:t>
          </w:r>
        </w:p>
        <w:p w:rsidR="004E1A64" w:rsidRDefault="00EB5EBB">
          <w:pPr>
            <w:pStyle w:val="TOC1"/>
            <w:tabs>
              <w:tab w:val="left" w:pos="440"/>
              <w:tab w:val="righ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90936266" w:history="1">
            <w:r w:rsidR="004E1A64" w:rsidRPr="00BB1B31">
              <w:rPr>
                <w:rStyle w:val="Hyperlink"/>
                <w:b/>
                <w:noProof/>
              </w:rPr>
              <w:t>1.</w:t>
            </w:r>
            <w:r w:rsidR="004E1A64">
              <w:rPr>
                <w:rFonts w:asciiTheme="minorHAnsi" w:eastAsiaTheme="minorEastAsia" w:hAnsiTheme="minorHAnsi" w:cstheme="minorBidi"/>
                <w:noProof/>
                <w:sz w:val="22"/>
                <w:szCs w:val="22"/>
                <w:lang w:eastAsia="en-GB"/>
              </w:rPr>
              <w:tab/>
            </w:r>
            <w:r w:rsidR="004E1A64" w:rsidRPr="00BB1B31">
              <w:rPr>
                <w:rStyle w:val="Hyperlink"/>
                <w:b/>
                <w:noProof/>
              </w:rPr>
              <w:t>Introduction</w:t>
            </w:r>
            <w:r w:rsidR="004E1A64">
              <w:rPr>
                <w:noProof/>
                <w:webHidden/>
              </w:rPr>
              <w:tab/>
            </w:r>
            <w:r w:rsidR="004E1A64">
              <w:rPr>
                <w:noProof/>
                <w:webHidden/>
              </w:rPr>
              <w:fldChar w:fldCharType="begin"/>
            </w:r>
            <w:r w:rsidR="004E1A64">
              <w:rPr>
                <w:noProof/>
                <w:webHidden/>
              </w:rPr>
              <w:instrText xml:space="preserve"> PAGEREF _Toc390936266 \h </w:instrText>
            </w:r>
            <w:r w:rsidR="004E1A64">
              <w:rPr>
                <w:noProof/>
                <w:webHidden/>
              </w:rPr>
            </w:r>
            <w:r w:rsidR="004E1A64">
              <w:rPr>
                <w:noProof/>
                <w:webHidden/>
              </w:rPr>
              <w:fldChar w:fldCharType="separate"/>
            </w:r>
            <w:r w:rsidR="004E1A64">
              <w:rPr>
                <w:noProof/>
                <w:webHidden/>
              </w:rPr>
              <w:t>2</w:t>
            </w:r>
            <w:r w:rsidR="004E1A64">
              <w:rPr>
                <w:noProof/>
                <w:webHidden/>
              </w:rPr>
              <w:fldChar w:fldCharType="end"/>
            </w:r>
          </w:hyperlink>
        </w:p>
        <w:p w:rsidR="004E1A64" w:rsidRDefault="00F105FD">
          <w:pPr>
            <w:pStyle w:val="TOC1"/>
            <w:tabs>
              <w:tab w:val="left" w:pos="440"/>
              <w:tab w:val="right" w:pos="9016"/>
            </w:tabs>
            <w:rPr>
              <w:rFonts w:asciiTheme="minorHAnsi" w:eastAsiaTheme="minorEastAsia" w:hAnsiTheme="minorHAnsi" w:cstheme="minorBidi"/>
              <w:noProof/>
              <w:sz w:val="22"/>
              <w:szCs w:val="22"/>
              <w:lang w:eastAsia="en-GB"/>
            </w:rPr>
          </w:pPr>
          <w:hyperlink w:anchor="_Toc390936267" w:history="1">
            <w:r w:rsidR="004E1A64" w:rsidRPr="00BB1B31">
              <w:rPr>
                <w:rStyle w:val="Hyperlink"/>
                <w:b/>
                <w:noProof/>
              </w:rPr>
              <w:t>2.</w:t>
            </w:r>
            <w:r w:rsidR="004E1A64">
              <w:rPr>
                <w:rFonts w:asciiTheme="minorHAnsi" w:eastAsiaTheme="minorEastAsia" w:hAnsiTheme="minorHAnsi" w:cstheme="minorBidi"/>
                <w:noProof/>
                <w:sz w:val="22"/>
                <w:szCs w:val="22"/>
                <w:lang w:eastAsia="en-GB"/>
              </w:rPr>
              <w:tab/>
            </w:r>
            <w:r w:rsidR="004E1A64" w:rsidRPr="00BB1B31">
              <w:rPr>
                <w:rStyle w:val="Hyperlink"/>
                <w:b/>
                <w:noProof/>
              </w:rPr>
              <w:t>Confidentiality and protection of personal data</w:t>
            </w:r>
            <w:r w:rsidR="004E1A64">
              <w:rPr>
                <w:noProof/>
                <w:webHidden/>
              </w:rPr>
              <w:tab/>
            </w:r>
            <w:r w:rsidR="004E1A64">
              <w:rPr>
                <w:noProof/>
                <w:webHidden/>
              </w:rPr>
              <w:fldChar w:fldCharType="begin"/>
            </w:r>
            <w:r w:rsidR="004E1A64">
              <w:rPr>
                <w:noProof/>
                <w:webHidden/>
              </w:rPr>
              <w:instrText xml:space="preserve"> PAGEREF _Toc390936267 \h </w:instrText>
            </w:r>
            <w:r w:rsidR="004E1A64">
              <w:rPr>
                <w:noProof/>
                <w:webHidden/>
              </w:rPr>
            </w:r>
            <w:r w:rsidR="004E1A64">
              <w:rPr>
                <w:noProof/>
                <w:webHidden/>
              </w:rPr>
              <w:fldChar w:fldCharType="separate"/>
            </w:r>
            <w:r w:rsidR="004E1A64">
              <w:rPr>
                <w:noProof/>
                <w:webHidden/>
              </w:rPr>
              <w:t>3</w:t>
            </w:r>
            <w:r w:rsidR="004E1A64">
              <w:rPr>
                <w:noProof/>
                <w:webHidden/>
              </w:rPr>
              <w:fldChar w:fldCharType="end"/>
            </w:r>
          </w:hyperlink>
        </w:p>
        <w:p w:rsidR="004E1A64" w:rsidRDefault="00F105FD">
          <w:pPr>
            <w:pStyle w:val="TOC1"/>
            <w:tabs>
              <w:tab w:val="left" w:pos="440"/>
              <w:tab w:val="right" w:pos="9016"/>
            </w:tabs>
            <w:rPr>
              <w:rFonts w:asciiTheme="minorHAnsi" w:eastAsiaTheme="minorEastAsia" w:hAnsiTheme="minorHAnsi" w:cstheme="minorBidi"/>
              <w:noProof/>
              <w:sz w:val="22"/>
              <w:szCs w:val="22"/>
              <w:lang w:eastAsia="en-GB"/>
            </w:rPr>
          </w:pPr>
          <w:hyperlink w:anchor="_Toc390936268" w:history="1">
            <w:r w:rsidR="004E1A64" w:rsidRPr="00BB1B31">
              <w:rPr>
                <w:rStyle w:val="Hyperlink"/>
                <w:b/>
                <w:noProof/>
              </w:rPr>
              <w:t>3.</w:t>
            </w:r>
            <w:r w:rsidR="004E1A64">
              <w:rPr>
                <w:rFonts w:asciiTheme="minorHAnsi" w:eastAsiaTheme="minorEastAsia" w:hAnsiTheme="minorHAnsi" w:cstheme="minorBidi"/>
                <w:noProof/>
                <w:sz w:val="22"/>
                <w:szCs w:val="22"/>
                <w:lang w:eastAsia="en-GB"/>
              </w:rPr>
              <w:tab/>
            </w:r>
            <w:r w:rsidR="004E1A64" w:rsidRPr="00BB1B31">
              <w:rPr>
                <w:rStyle w:val="Hyperlink"/>
                <w:b/>
                <w:noProof/>
              </w:rPr>
              <w:t>2011 Census Microdata Products</w:t>
            </w:r>
            <w:r w:rsidR="004E1A64">
              <w:rPr>
                <w:noProof/>
                <w:webHidden/>
              </w:rPr>
              <w:tab/>
            </w:r>
            <w:r w:rsidR="004E1A64">
              <w:rPr>
                <w:noProof/>
                <w:webHidden/>
              </w:rPr>
              <w:fldChar w:fldCharType="begin"/>
            </w:r>
            <w:r w:rsidR="004E1A64">
              <w:rPr>
                <w:noProof/>
                <w:webHidden/>
              </w:rPr>
              <w:instrText xml:space="preserve"> PAGEREF _Toc390936268 \h </w:instrText>
            </w:r>
            <w:r w:rsidR="004E1A64">
              <w:rPr>
                <w:noProof/>
                <w:webHidden/>
              </w:rPr>
            </w:r>
            <w:r w:rsidR="004E1A64">
              <w:rPr>
                <w:noProof/>
                <w:webHidden/>
              </w:rPr>
              <w:fldChar w:fldCharType="separate"/>
            </w:r>
            <w:r w:rsidR="004E1A64">
              <w:rPr>
                <w:noProof/>
                <w:webHidden/>
              </w:rPr>
              <w:t>3</w:t>
            </w:r>
            <w:r w:rsidR="004E1A64">
              <w:rPr>
                <w:noProof/>
                <w:webHidden/>
              </w:rPr>
              <w:fldChar w:fldCharType="end"/>
            </w:r>
          </w:hyperlink>
        </w:p>
        <w:p w:rsidR="004E1A64" w:rsidRDefault="00F105FD">
          <w:pPr>
            <w:pStyle w:val="TOC1"/>
            <w:tabs>
              <w:tab w:val="left" w:pos="440"/>
              <w:tab w:val="right" w:pos="9016"/>
            </w:tabs>
            <w:rPr>
              <w:rFonts w:asciiTheme="minorHAnsi" w:eastAsiaTheme="minorEastAsia" w:hAnsiTheme="minorHAnsi" w:cstheme="minorBidi"/>
              <w:noProof/>
              <w:sz w:val="22"/>
              <w:szCs w:val="22"/>
              <w:lang w:eastAsia="en-GB"/>
            </w:rPr>
          </w:pPr>
          <w:hyperlink w:anchor="_Toc390936269" w:history="1">
            <w:r w:rsidR="004E1A64" w:rsidRPr="00BB1B31">
              <w:rPr>
                <w:rStyle w:val="Hyperlink"/>
                <w:b/>
                <w:noProof/>
              </w:rPr>
              <w:t>4.</w:t>
            </w:r>
            <w:r w:rsidR="004E1A64">
              <w:rPr>
                <w:rFonts w:asciiTheme="minorHAnsi" w:eastAsiaTheme="minorEastAsia" w:hAnsiTheme="minorHAnsi" w:cstheme="minorBidi"/>
                <w:noProof/>
                <w:sz w:val="22"/>
                <w:szCs w:val="22"/>
                <w:lang w:eastAsia="en-GB"/>
              </w:rPr>
              <w:tab/>
            </w:r>
            <w:r w:rsidR="004E1A64" w:rsidRPr="00BB1B31">
              <w:rPr>
                <w:rStyle w:val="Hyperlink"/>
                <w:b/>
                <w:noProof/>
              </w:rPr>
              <w:t>Purpose of the 2011 Census Microdata Teaching File</w:t>
            </w:r>
            <w:r w:rsidR="004E1A64">
              <w:rPr>
                <w:noProof/>
                <w:webHidden/>
              </w:rPr>
              <w:tab/>
            </w:r>
            <w:r w:rsidR="004E1A64">
              <w:rPr>
                <w:noProof/>
                <w:webHidden/>
              </w:rPr>
              <w:fldChar w:fldCharType="begin"/>
            </w:r>
            <w:r w:rsidR="004E1A64">
              <w:rPr>
                <w:noProof/>
                <w:webHidden/>
              </w:rPr>
              <w:instrText xml:space="preserve"> PAGEREF _Toc390936269 \h </w:instrText>
            </w:r>
            <w:r w:rsidR="004E1A64">
              <w:rPr>
                <w:noProof/>
                <w:webHidden/>
              </w:rPr>
            </w:r>
            <w:r w:rsidR="004E1A64">
              <w:rPr>
                <w:noProof/>
                <w:webHidden/>
              </w:rPr>
              <w:fldChar w:fldCharType="separate"/>
            </w:r>
            <w:r w:rsidR="004E1A64">
              <w:rPr>
                <w:noProof/>
                <w:webHidden/>
              </w:rPr>
              <w:t>4</w:t>
            </w:r>
            <w:r w:rsidR="004E1A64">
              <w:rPr>
                <w:noProof/>
                <w:webHidden/>
              </w:rPr>
              <w:fldChar w:fldCharType="end"/>
            </w:r>
          </w:hyperlink>
        </w:p>
        <w:p w:rsidR="004E1A64" w:rsidRDefault="00F105FD">
          <w:pPr>
            <w:pStyle w:val="TOC1"/>
            <w:tabs>
              <w:tab w:val="left" w:pos="440"/>
              <w:tab w:val="right" w:pos="9016"/>
            </w:tabs>
            <w:rPr>
              <w:rFonts w:asciiTheme="minorHAnsi" w:eastAsiaTheme="minorEastAsia" w:hAnsiTheme="minorHAnsi" w:cstheme="minorBidi"/>
              <w:noProof/>
              <w:sz w:val="22"/>
              <w:szCs w:val="22"/>
              <w:lang w:eastAsia="en-GB"/>
            </w:rPr>
          </w:pPr>
          <w:hyperlink w:anchor="_Toc390936270" w:history="1">
            <w:r w:rsidR="004E1A64" w:rsidRPr="00BB1B31">
              <w:rPr>
                <w:rStyle w:val="Hyperlink"/>
                <w:b/>
                <w:noProof/>
              </w:rPr>
              <w:t>5.</w:t>
            </w:r>
            <w:r w:rsidR="004E1A64">
              <w:rPr>
                <w:rFonts w:asciiTheme="minorHAnsi" w:eastAsiaTheme="minorEastAsia" w:hAnsiTheme="minorHAnsi" w:cstheme="minorBidi"/>
                <w:noProof/>
                <w:sz w:val="22"/>
                <w:szCs w:val="22"/>
                <w:lang w:eastAsia="en-GB"/>
              </w:rPr>
              <w:tab/>
            </w:r>
            <w:r w:rsidR="004E1A64" w:rsidRPr="00BB1B31">
              <w:rPr>
                <w:rStyle w:val="Hyperlink"/>
                <w:b/>
                <w:noProof/>
              </w:rPr>
              <w:t>Sampling</w:t>
            </w:r>
            <w:r w:rsidR="004E1A64">
              <w:rPr>
                <w:noProof/>
                <w:webHidden/>
              </w:rPr>
              <w:tab/>
            </w:r>
            <w:r w:rsidR="004E1A64">
              <w:rPr>
                <w:noProof/>
                <w:webHidden/>
              </w:rPr>
              <w:fldChar w:fldCharType="begin"/>
            </w:r>
            <w:r w:rsidR="004E1A64">
              <w:rPr>
                <w:noProof/>
                <w:webHidden/>
              </w:rPr>
              <w:instrText xml:space="preserve"> PAGEREF _Toc390936270 \h </w:instrText>
            </w:r>
            <w:r w:rsidR="004E1A64">
              <w:rPr>
                <w:noProof/>
                <w:webHidden/>
              </w:rPr>
            </w:r>
            <w:r w:rsidR="004E1A64">
              <w:rPr>
                <w:noProof/>
                <w:webHidden/>
              </w:rPr>
              <w:fldChar w:fldCharType="separate"/>
            </w:r>
            <w:r w:rsidR="004E1A64">
              <w:rPr>
                <w:noProof/>
                <w:webHidden/>
              </w:rPr>
              <w:t>4</w:t>
            </w:r>
            <w:r w:rsidR="004E1A64">
              <w:rPr>
                <w:noProof/>
                <w:webHidden/>
              </w:rPr>
              <w:fldChar w:fldCharType="end"/>
            </w:r>
          </w:hyperlink>
        </w:p>
        <w:p w:rsidR="004E1A64" w:rsidRDefault="00F105FD">
          <w:pPr>
            <w:pStyle w:val="TOC1"/>
            <w:tabs>
              <w:tab w:val="left" w:pos="440"/>
              <w:tab w:val="right" w:pos="9016"/>
            </w:tabs>
            <w:rPr>
              <w:rFonts w:asciiTheme="minorHAnsi" w:eastAsiaTheme="minorEastAsia" w:hAnsiTheme="minorHAnsi" w:cstheme="minorBidi"/>
              <w:noProof/>
              <w:sz w:val="22"/>
              <w:szCs w:val="22"/>
              <w:lang w:eastAsia="en-GB"/>
            </w:rPr>
          </w:pPr>
          <w:hyperlink w:anchor="_Toc390936271" w:history="1">
            <w:r w:rsidR="004E1A64" w:rsidRPr="00BB1B31">
              <w:rPr>
                <w:rStyle w:val="Hyperlink"/>
                <w:b/>
                <w:noProof/>
              </w:rPr>
              <w:t>6.</w:t>
            </w:r>
            <w:r w:rsidR="004E1A64">
              <w:rPr>
                <w:rFonts w:asciiTheme="minorHAnsi" w:eastAsiaTheme="minorEastAsia" w:hAnsiTheme="minorHAnsi" w:cstheme="minorBidi"/>
                <w:noProof/>
                <w:sz w:val="22"/>
                <w:szCs w:val="22"/>
                <w:lang w:eastAsia="en-GB"/>
              </w:rPr>
              <w:tab/>
            </w:r>
            <w:r w:rsidR="004E1A64" w:rsidRPr="00BB1B31">
              <w:rPr>
                <w:rStyle w:val="Hyperlink"/>
                <w:b/>
                <w:noProof/>
              </w:rPr>
              <w:t>How the Teaching File should be cited</w:t>
            </w:r>
            <w:r w:rsidR="004E1A64">
              <w:rPr>
                <w:noProof/>
                <w:webHidden/>
              </w:rPr>
              <w:tab/>
            </w:r>
            <w:r w:rsidR="004E1A64">
              <w:rPr>
                <w:noProof/>
                <w:webHidden/>
              </w:rPr>
              <w:fldChar w:fldCharType="begin"/>
            </w:r>
            <w:r w:rsidR="004E1A64">
              <w:rPr>
                <w:noProof/>
                <w:webHidden/>
              </w:rPr>
              <w:instrText xml:space="preserve"> PAGEREF _Toc390936271 \h </w:instrText>
            </w:r>
            <w:r w:rsidR="004E1A64">
              <w:rPr>
                <w:noProof/>
                <w:webHidden/>
              </w:rPr>
            </w:r>
            <w:r w:rsidR="004E1A64">
              <w:rPr>
                <w:noProof/>
                <w:webHidden/>
              </w:rPr>
              <w:fldChar w:fldCharType="separate"/>
            </w:r>
            <w:r w:rsidR="004E1A64">
              <w:rPr>
                <w:noProof/>
                <w:webHidden/>
              </w:rPr>
              <w:t>5</w:t>
            </w:r>
            <w:r w:rsidR="004E1A64">
              <w:rPr>
                <w:noProof/>
                <w:webHidden/>
              </w:rPr>
              <w:fldChar w:fldCharType="end"/>
            </w:r>
          </w:hyperlink>
        </w:p>
        <w:p w:rsidR="004E1A64" w:rsidRDefault="00F105FD">
          <w:pPr>
            <w:pStyle w:val="TOC1"/>
            <w:tabs>
              <w:tab w:val="left" w:pos="440"/>
              <w:tab w:val="right" w:pos="9016"/>
            </w:tabs>
            <w:rPr>
              <w:rFonts w:asciiTheme="minorHAnsi" w:eastAsiaTheme="minorEastAsia" w:hAnsiTheme="minorHAnsi" w:cstheme="minorBidi"/>
              <w:noProof/>
              <w:sz w:val="22"/>
              <w:szCs w:val="22"/>
              <w:lang w:eastAsia="en-GB"/>
            </w:rPr>
          </w:pPr>
          <w:hyperlink w:anchor="_Toc390936272" w:history="1">
            <w:r w:rsidR="004E1A64" w:rsidRPr="00BB1B31">
              <w:rPr>
                <w:rStyle w:val="Hyperlink"/>
                <w:b/>
                <w:noProof/>
              </w:rPr>
              <w:t>7.</w:t>
            </w:r>
            <w:r w:rsidR="004E1A64">
              <w:rPr>
                <w:rFonts w:asciiTheme="minorHAnsi" w:eastAsiaTheme="minorEastAsia" w:hAnsiTheme="minorHAnsi" w:cstheme="minorBidi"/>
                <w:noProof/>
                <w:sz w:val="22"/>
                <w:szCs w:val="22"/>
                <w:lang w:eastAsia="en-GB"/>
              </w:rPr>
              <w:tab/>
            </w:r>
            <w:r w:rsidR="004E1A64" w:rsidRPr="00BB1B31">
              <w:rPr>
                <w:rStyle w:val="Hyperlink"/>
                <w:b/>
                <w:noProof/>
              </w:rPr>
              <w:t>Appendix 1: Contents of the Teaching File</w:t>
            </w:r>
            <w:r w:rsidR="004E1A64">
              <w:rPr>
                <w:noProof/>
                <w:webHidden/>
              </w:rPr>
              <w:tab/>
            </w:r>
            <w:r w:rsidR="004E1A64">
              <w:rPr>
                <w:noProof/>
                <w:webHidden/>
              </w:rPr>
              <w:fldChar w:fldCharType="begin"/>
            </w:r>
            <w:r w:rsidR="004E1A64">
              <w:rPr>
                <w:noProof/>
                <w:webHidden/>
              </w:rPr>
              <w:instrText xml:space="preserve"> PAGEREF _Toc390936272 \h </w:instrText>
            </w:r>
            <w:r w:rsidR="004E1A64">
              <w:rPr>
                <w:noProof/>
                <w:webHidden/>
              </w:rPr>
            </w:r>
            <w:r w:rsidR="004E1A64">
              <w:rPr>
                <w:noProof/>
                <w:webHidden/>
              </w:rPr>
              <w:fldChar w:fldCharType="separate"/>
            </w:r>
            <w:r w:rsidR="004E1A64">
              <w:rPr>
                <w:noProof/>
                <w:webHidden/>
              </w:rPr>
              <w:t>6</w:t>
            </w:r>
            <w:r w:rsidR="004E1A64">
              <w:rPr>
                <w:noProof/>
                <w:webHidden/>
              </w:rPr>
              <w:fldChar w:fldCharType="end"/>
            </w:r>
          </w:hyperlink>
        </w:p>
        <w:p w:rsidR="008A5FAB" w:rsidRDefault="00EB5EBB" w:rsidP="000277D6">
          <w:r>
            <w:rPr>
              <w:b/>
              <w:bCs/>
              <w:noProof/>
            </w:rPr>
            <w:fldChar w:fldCharType="end"/>
          </w:r>
        </w:p>
      </w:sdtContent>
    </w:sdt>
    <w:p w:rsidR="008A5FAB" w:rsidRDefault="008A5FAB" w:rsidP="00990286">
      <w:pPr>
        <w:jc w:val="left"/>
      </w:pPr>
    </w:p>
    <w:p w:rsidR="00990286" w:rsidRPr="000277D6" w:rsidRDefault="00990286" w:rsidP="008A5FAB">
      <w:pPr>
        <w:pStyle w:val="Heading1"/>
        <w:rPr>
          <w:b/>
        </w:rPr>
      </w:pPr>
      <w:bookmarkStart w:id="0" w:name="_Toc390936266"/>
      <w:r w:rsidRPr="000277D6">
        <w:rPr>
          <w:b/>
        </w:rPr>
        <w:t>Introduction</w:t>
      </w:r>
      <w:bookmarkEnd w:id="0"/>
    </w:p>
    <w:p w:rsidR="00990286" w:rsidRDefault="00990286" w:rsidP="00990286">
      <w:pPr>
        <w:jc w:val="left"/>
      </w:pPr>
    </w:p>
    <w:p w:rsidR="00990286" w:rsidRDefault="00990286" w:rsidP="00990286">
      <w:r>
        <w:t xml:space="preserve">1.1 </w:t>
      </w:r>
      <w:hyperlink r:id="rId12" w:history="1">
        <w:r w:rsidRPr="00FB6443">
          <w:rPr>
            <w:rStyle w:val="Hyperlink"/>
          </w:rPr>
          <w:t>Scotland’s census</w:t>
        </w:r>
      </w:hyperlink>
      <w:r>
        <w:t xml:space="preserve"> </w:t>
      </w:r>
      <w:r w:rsidR="005850AC">
        <w:t xml:space="preserve">is the largest and most complex statistical exercise undertaken in Scotland. </w:t>
      </w:r>
      <w:r w:rsidR="005850AC" w:rsidRPr="003F7ED5">
        <w:rPr>
          <w:rFonts w:cs="Arial"/>
          <w:lang w:val="en"/>
        </w:rPr>
        <w:t xml:space="preserve">The census has collected information about the population every 10 years since 1801 (except in 1941 when no census was taken due to the Second World War). </w:t>
      </w:r>
      <w:r w:rsidR="005850AC">
        <w:t xml:space="preserve">For the 2011 Census, </w:t>
      </w:r>
      <w:r>
        <w:t>National Records of Scotland (NRS) asked people to fill in a census questionnaire to reflect their circ</w:t>
      </w:r>
      <w:r w:rsidR="0008495B">
        <w:t>umstances on 27 March 2011. The</w:t>
      </w:r>
      <w:r>
        <w:t xml:space="preserve"> </w:t>
      </w:r>
      <w:r w:rsidR="0008495B">
        <w:t>c</w:t>
      </w:r>
      <w:r>
        <w:t xml:space="preserve">ensus </w:t>
      </w:r>
      <w:hyperlink r:id="rId13" w:history="1">
        <w:r w:rsidRPr="008721D2">
          <w:rPr>
            <w:rStyle w:val="Hyperlink"/>
          </w:rPr>
          <w:t>questionnaire</w:t>
        </w:r>
      </w:hyperlink>
      <w:r>
        <w:t xml:space="preserve"> </w:t>
      </w:r>
      <w:r w:rsidR="005850AC">
        <w:t>included 13 questions about each household (</w:t>
      </w:r>
      <w:proofErr w:type="spellStart"/>
      <w:r w:rsidR="005850AC">
        <w:t>eg</w:t>
      </w:r>
      <w:proofErr w:type="spellEnd"/>
      <w:r w:rsidR="005850AC">
        <w:t xml:space="preserve"> type of accommodation, number of rooms </w:t>
      </w:r>
      <w:proofErr w:type="spellStart"/>
      <w:r w:rsidR="005850AC">
        <w:t>etc</w:t>
      </w:r>
      <w:proofErr w:type="spellEnd"/>
      <w:r w:rsidR="005850AC">
        <w:t>) and up to 35 questions for each person in the household (</w:t>
      </w:r>
      <w:proofErr w:type="spellStart"/>
      <w:r w:rsidR="005850AC">
        <w:t>eg</w:t>
      </w:r>
      <w:proofErr w:type="spellEnd"/>
      <w:r w:rsidR="005850AC">
        <w:t xml:space="preserve"> age, sex, marital status, ethnic group, health, qualifications).</w:t>
      </w:r>
    </w:p>
    <w:p w:rsidR="005850AC" w:rsidRDefault="005850AC" w:rsidP="00990286"/>
    <w:p w:rsidR="005850AC" w:rsidRDefault="005850AC" w:rsidP="005850AC">
      <w:pPr>
        <w:pStyle w:val="Default"/>
        <w:rPr>
          <w:rFonts w:ascii="Arial" w:hAnsi="Arial" w:cs="Arial"/>
        </w:rPr>
      </w:pPr>
      <w:r w:rsidRPr="001D7393">
        <w:rPr>
          <w:rFonts w:ascii="Arial" w:hAnsi="Arial" w:cs="Arial"/>
        </w:rPr>
        <w:t xml:space="preserve">1.2 </w:t>
      </w:r>
      <w:r w:rsidRPr="008308D5">
        <w:rPr>
          <w:rFonts w:ascii="Arial" w:hAnsi="Arial" w:cs="Arial"/>
        </w:rPr>
        <w:t xml:space="preserve">Key users of </w:t>
      </w:r>
      <w:r>
        <w:rPr>
          <w:rFonts w:ascii="Arial" w:hAnsi="Arial" w:cs="Arial"/>
        </w:rPr>
        <w:t xml:space="preserve">census </w:t>
      </w:r>
      <w:r w:rsidRPr="008308D5">
        <w:rPr>
          <w:rFonts w:ascii="Arial" w:hAnsi="Arial" w:cs="Arial"/>
        </w:rPr>
        <w:t xml:space="preserve">information include both </w:t>
      </w:r>
      <w:r>
        <w:rPr>
          <w:rFonts w:ascii="Arial" w:hAnsi="Arial" w:cs="Arial"/>
        </w:rPr>
        <w:t>c</w:t>
      </w:r>
      <w:r w:rsidRPr="008308D5">
        <w:rPr>
          <w:rFonts w:ascii="Arial" w:hAnsi="Arial" w:cs="Arial"/>
        </w:rPr>
        <w:t xml:space="preserve">entral and </w:t>
      </w:r>
      <w:r>
        <w:rPr>
          <w:rFonts w:ascii="Arial" w:hAnsi="Arial" w:cs="Arial"/>
        </w:rPr>
        <w:t>l</w:t>
      </w:r>
      <w:r w:rsidRPr="008308D5">
        <w:rPr>
          <w:rFonts w:ascii="Arial" w:hAnsi="Arial" w:cs="Arial"/>
        </w:rPr>
        <w:t xml:space="preserve">ocal </w:t>
      </w:r>
      <w:r>
        <w:rPr>
          <w:rFonts w:ascii="Arial" w:hAnsi="Arial" w:cs="Arial"/>
        </w:rPr>
        <w:t>g</w:t>
      </w:r>
      <w:r w:rsidRPr="008308D5">
        <w:rPr>
          <w:rFonts w:ascii="Arial" w:hAnsi="Arial" w:cs="Arial"/>
        </w:rPr>
        <w:t xml:space="preserve">overnment, </w:t>
      </w:r>
      <w:r>
        <w:rPr>
          <w:rFonts w:ascii="Arial" w:hAnsi="Arial" w:cs="Arial"/>
        </w:rPr>
        <w:t>a</w:t>
      </w:r>
      <w:r w:rsidRPr="008308D5">
        <w:rPr>
          <w:rFonts w:ascii="Arial" w:hAnsi="Arial" w:cs="Arial"/>
        </w:rPr>
        <w:t xml:space="preserve">cademia, organisations undertaking research, the </w:t>
      </w:r>
      <w:r>
        <w:rPr>
          <w:rFonts w:ascii="Arial" w:hAnsi="Arial" w:cs="Arial"/>
        </w:rPr>
        <w:t>p</w:t>
      </w:r>
      <w:r w:rsidRPr="008308D5">
        <w:rPr>
          <w:rFonts w:ascii="Arial" w:hAnsi="Arial" w:cs="Arial"/>
        </w:rPr>
        <w:t xml:space="preserve">rivate, </w:t>
      </w:r>
      <w:r>
        <w:rPr>
          <w:rFonts w:ascii="Arial" w:hAnsi="Arial" w:cs="Arial"/>
        </w:rPr>
        <w:t>b</w:t>
      </w:r>
      <w:r w:rsidRPr="008308D5">
        <w:rPr>
          <w:rFonts w:ascii="Arial" w:hAnsi="Arial" w:cs="Arial"/>
        </w:rPr>
        <w:t xml:space="preserve">usiness and </w:t>
      </w:r>
      <w:r>
        <w:rPr>
          <w:rFonts w:ascii="Arial" w:hAnsi="Arial" w:cs="Arial"/>
        </w:rPr>
        <w:t>v</w:t>
      </w:r>
      <w:r w:rsidRPr="008308D5">
        <w:rPr>
          <w:rFonts w:ascii="Arial" w:hAnsi="Arial" w:cs="Arial"/>
        </w:rPr>
        <w:t xml:space="preserve">oluntary </w:t>
      </w:r>
      <w:r>
        <w:rPr>
          <w:rFonts w:ascii="Arial" w:hAnsi="Arial" w:cs="Arial"/>
        </w:rPr>
        <w:t>s</w:t>
      </w:r>
      <w:r w:rsidRPr="008308D5">
        <w:rPr>
          <w:rFonts w:ascii="Arial" w:hAnsi="Arial" w:cs="Arial"/>
        </w:rPr>
        <w:t>ectors and the general public</w:t>
      </w:r>
      <w:r>
        <w:rPr>
          <w:rFonts w:ascii="Arial" w:hAnsi="Arial" w:cs="Arial"/>
        </w:rPr>
        <w:t>.</w:t>
      </w:r>
      <w:r>
        <w:rPr>
          <w:rFonts w:ascii="Arial" w:hAnsi="Arial" w:cs="Arial"/>
          <w:lang w:val="en"/>
        </w:rPr>
        <w:t xml:space="preserve"> </w:t>
      </w:r>
      <w:r w:rsidRPr="001D7393">
        <w:rPr>
          <w:rFonts w:ascii="Arial" w:hAnsi="Arial" w:cs="Arial"/>
        </w:rPr>
        <w:t>The census</w:t>
      </w:r>
      <w:r w:rsidRPr="001D7393">
        <w:rPr>
          <w:rFonts w:ascii="Arial" w:hAnsi="Arial" w:cs="Arial"/>
          <w:lang w:val="en"/>
        </w:rPr>
        <w:t xml:space="preserve"> </w:t>
      </w:r>
      <w:r w:rsidRPr="001D7393">
        <w:rPr>
          <w:rFonts w:ascii="Arial" w:hAnsi="Arial" w:cs="Arial"/>
        </w:rPr>
        <w:t xml:space="preserve">is widely acknowledged as playing a fundamental and unique role in the provision of comprehensive and robust population statistics. Census information is needed to help government develop policies and initiatives, and for local authorities to plan services and to make effective use of resources that benefit the people of Scotland. </w:t>
      </w:r>
      <w:r w:rsidRPr="001D7393">
        <w:rPr>
          <w:rFonts w:ascii="Arial" w:hAnsi="Arial" w:cs="Arial"/>
          <w:lang w:val="en"/>
        </w:rPr>
        <w:t>This information underpins the allocation of billions of pounds of public money each year</w:t>
      </w:r>
      <w:r>
        <w:rPr>
          <w:rFonts w:ascii="Arial" w:hAnsi="Arial" w:cs="Arial"/>
          <w:lang w:val="en"/>
        </w:rPr>
        <w:t xml:space="preserve"> to provide services like education, transport and health. </w:t>
      </w:r>
      <w:r w:rsidRPr="001D7393">
        <w:rPr>
          <w:rFonts w:ascii="Arial" w:hAnsi="Arial" w:cs="Arial"/>
          <w:lang w:val="en"/>
        </w:rPr>
        <w:t xml:space="preserve">Decisions are taken every day using census statistics. For example, the numbers of school spaces, houses, care homes, hospitals and fire services are all influenced by the census.  </w:t>
      </w:r>
      <w:r w:rsidRPr="001D7393">
        <w:rPr>
          <w:rFonts w:ascii="Arial" w:hAnsi="Arial" w:cs="Arial"/>
          <w:lang w:val="en"/>
        </w:rPr>
        <w:br/>
      </w:r>
    </w:p>
    <w:p w:rsidR="005850AC" w:rsidRPr="001D7393" w:rsidRDefault="005850AC" w:rsidP="005850AC">
      <w:pPr>
        <w:pStyle w:val="Default"/>
        <w:rPr>
          <w:rFonts w:cs="Arial"/>
        </w:rPr>
      </w:pPr>
      <w:r>
        <w:rPr>
          <w:rFonts w:ascii="Arial" w:hAnsi="Arial" w:cs="Arial"/>
        </w:rPr>
        <w:t xml:space="preserve">1.3 Census </w:t>
      </w:r>
      <w:r>
        <w:rPr>
          <w:rFonts w:ascii="Arial" w:hAnsi="Arial" w:cs="Arial"/>
          <w:lang w:val="en"/>
        </w:rPr>
        <w:t>statistics are used to help understand the increasingly diverse nature of Scotland’s population by capturing the similarities and differences in the populations' characteristics locally and nationally</w:t>
      </w:r>
      <w:r w:rsidRPr="001D7393">
        <w:rPr>
          <w:rFonts w:ascii="Arial" w:hAnsi="Arial" w:cs="Arial"/>
          <w:lang w:val="en"/>
        </w:rPr>
        <w:t>. The census</w:t>
      </w:r>
      <w:r w:rsidRPr="001D7393">
        <w:rPr>
          <w:rFonts w:ascii="Arial" w:hAnsi="Arial" w:cs="Arial"/>
        </w:rPr>
        <w:t xml:space="preserve"> provides a rich source of data to learn about our population and are used for research and teaching purposes. </w:t>
      </w:r>
    </w:p>
    <w:p w:rsidR="005850AC" w:rsidRPr="001D7393" w:rsidRDefault="005850AC" w:rsidP="005850AC">
      <w:pPr>
        <w:rPr>
          <w:rFonts w:cs="Arial"/>
        </w:rPr>
      </w:pPr>
      <w:bookmarkStart w:id="1" w:name="_GoBack"/>
      <w:bookmarkEnd w:id="1"/>
    </w:p>
    <w:p w:rsidR="005850AC" w:rsidRDefault="005850AC" w:rsidP="005850AC">
      <w:r>
        <w:rPr>
          <w:rFonts w:cs="Arial"/>
        </w:rPr>
        <w:t xml:space="preserve">1.4 </w:t>
      </w:r>
      <w:r w:rsidRPr="001D7393">
        <w:rPr>
          <w:rFonts w:cs="Arial"/>
        </w:rPr>
        <w:t xml:space="preserve">NRS </w:t>
      </w:r>
      <w:r>
        <w:rPr>
          <w:rFonts w:cs="Arial"/>
        </w:rPr>
        <w:t>is p</w:t>
      </w:r>
      <w:r w:rsidRPr="001D7393">
        <w:rPr>
          <w:rFonts w:cs="Arial"/>
        </w:rPr>
        <w:t>ublish</w:t>
      </w:r>
      <w:r>
        <w:rPr>
          <w:rFonts w:cs="Arial"/>
        </w:rPr>
        <w:t>ing</w:t>
      </w:r>
      <w:r w:rsidRPr="001D7393">
        <w:rPr>
          <w:rFonts w:cs="Arial"/>
        </w:rPr>
        <w:t xml:space="preserve"> a number of </w:t>
      </w:r>
      <w:hyperlink r:id="rId14" w:history="1">
        <w:r w:rsidRPr="00F105FD">
          <w:rPr>
            <w:rStyle w:val="Hyperlink"/>
          </w:rPr>
          <w:t>standard output</w:t>
        </w:r>
      </w:hyperlink>
      <w:r w:rsidRPr="00F105FD">
        <w:t xml:space="preserve"> tables </w:t>
      </w:r>
      <w:r>
        <w:t xml:space="preserve">containing summary statistics that describe the characteristics of Scotland’s population. However, these tables do not always provide the flexibility needed for specific research questions to be answered. In order to make census data more accessible for research purposes, NRS is producing a number of microdata products based on a sample of anonymised census data at an individual person and household level. </w:t>
      </w:r>
    </w:p>
    <w:p w:rsidR="00AD30CC" w:rsidRDefault="00AD30CC" w:rsidP="00990286"/>
    <w:p w:rsidR="00EE5E33" w:rsidRDefault="00EE5E33" w:rsidP="00990286"/>
    <w:p w:rsidR="00EE5E33" w:rsidRPr="000277D6" w:rsidRDefault="00EE5E33" w:rsidP="00EE5E33">
      <w:pPr>
        <w:pStyle w:val="Heading1"/>
        <w:rPr>
          <w:b/>
        </w:rPr>
      </w:pPr>
      <w:bookmarkStart w:id="2" w:name="_Toc390936267"/>
      <w:r w:rsidRPr="000277D6">
        <w:rPr>
          <w:b/>
        </w:rPr>
        <w:lastRenderedPageBreak/>
        <w:t>Confidentiality and protection of personal data</w:t>
      </w:r>
      <w:bookmarkEnd w:id="2"/>
    </w:p>
    <w:p w:rsidR="00990286" w:rsidRDefault="00990286" w:rsidP="00990286"/>
    <w:p w:rsidR="002C7D62" w:rsidRDefault="002C7D62" w:rsidP="00990286">
      <w:r>
        <w:t xml:space="preserve">2.1 By law we keep your personal census details confidential for 100 years. Until then, we will not share or publish information that would reveal personal information about you or the place you live. </w:t>
      </w:r>
      <w:r w:rsidR="00C625ED">
        <w:t>We ensure</w:t>
      </w:r>
      <w:r>
        <w:t xml:space="preserve"> that measures are taken </w:t>
      </w:r>
      <w:r w:rsidR="00544F59">
        <w:t>so</w:t>
      </w:r>
      <w:r>
        <w:t xml:space="preserve"> that the microdata products </w:t>
      </w:r>
      <w:r w:rsidR="00C625ED">
        <w:t>remain</w:t>
      </w:r>
      <w:r>
        <w:t xml:space="preserve"> </w:t>
      </w:r>
      <w:r w:rsidR="00544F59">
        <w:t>anonymised and confidential in line with other census products</w:t>
      </w:r>
      <w:r>
        <w:t xml:space="preserve">. </w:t>
      </w:r>
    </w:p>
    <w:p w:rsidR="002C7D62" w:rsidRDefault="002C7D62" w:rsidP="00990286"/>
    <w:p w:rsidR="00C625ED" w:rsidRDefault="00C625ED" w:rsidP="00990286">
      <w:r>
        <w:t xml:space="preserve">2.2 Statistical disclosure techniques are employed to ensure that the risk of inadvertent disclosure in statistical outputs is minimised. </w:t>
      </w:r>
      <w:r w:rsidR="005850AC">
        <w:t xml:space="preserve">The </w:t>
      </w:r>
      <w:hyperlink r:id="rId15" w:history="1">
        <w:proofErr w:type="spellStart"/>
        <w:r w:rsidR="005850AC" w:rsidRPr="00C625ED">
          <w:rPr>
            <w:rStyle w:val="Hyperlink"/>
          </w:rPr>
          <w:t>ONS</w:t>
        </w:r>
        <w:proofErr w:type="spellEnd"/>
        <w:r w:rsidR="005850AC" w:rsidRPr="00C625ED">
          <w:rPr>
            <w:rStyle w:val="Hyperlink"/>
          </w:rPr>
          <w:t xml:space="preserve"> website</w:t>
        </w:r>
      </w:hyperlink>
      <w:r w:rsidR="005850AC">
        <w:rPr>
          <w:rStyle w:val="Hyperlink"/>
        </w:rPr>
        <w:t xml:space="preserve"> </w:t>
      </w:r>
      <w:r w:rsidR="005850AC">
        <w:t xml:space="preserve"> includes a description of the principles of the Statistical Disclosure Control (</w:t>
      </w:r>
      <w:proofErr w:type="spellStart"/>
      <w:r w:rsidR="005850AC">
        <w:t>SDC</w:t>
      </w:r>
      <w:proofErr w:type="spellEnd"/>
      <w:r w:rsidR="005850AC">
        <w:t>) methodology applied by all the UK census offices for the 2011 Census.</w:t>
      </w:r>
      <w:r>
        <w:t xml:space="preserve"> </w:t>
      </w:r>
    </w:p>
    <w:p w:rsidR="00C625ED" w:rsidRDefault="00C625ED" w:rsidP="00990286"/>
    <w:p w:rsidR="008B534A" w:rsidRDefault="008B534A" w:rsidP="00990286">
      <w:r>
        <w:t>2.</w:t>
      </w:r>
      <w:r w:rsidR="00B93F56">
        <w:t>3</w:t>
      </w:r>
      <w:r>
        <w:t xml:space="preserve"> </w:t>
      </w:r>
      <w:r w:rsidR="00544F59">
        <w:t xml:space="preserve">In addition to </w:t>
      </w:r>
      <w:proofErr w:type="spellStart"/>
      <w:r w:rsidR="00544F59">
        <w:t>SDC</w:t>
      </w:r>
      <w:proofErr w:type="spellEnd"/>
      <w:r w:rsidR="00544F59">
        <w:t xml:space="preserve"> the</w:t>
      </w:r>
      <w:r>
        <w:t xml:space="preserve"> individual level samples </w:t>
      </w:r>
      <w:r w:rsidR="005850AC">
        <w:t>included in all census microdata products will have all personal information</w:t>
      </w:r>
      <w:r>
        <w:t xml:space="preserve"> (name, address, date of birth) removed to </w:t>
      </w:r>
      <w:r w:rsidR="005850AC">
        <w:t xml:space="preserve">help </w:t>
      </w:r>
      <w:r>
        <w:t xml:space="preserve">ensure confidentiality is maintained. </w:t>
      </w:r>
      <w:r w:rsidR="005850AC">
        <w:t>If required,</w:t>
      </w:r>
      <w:r>
        <w:t xml:space="preserve"> variable</w:t>
      </w:r>
      <w:r w:rsidR="002C7D62">
        <w:t xml:space="preserve">s will </w:t>
      </w:r>
      <w:r w:rsidR="005850AC">
        <w:t xml:space="preserve">either </w:t>
      </w:r>
      <w:r w:rsidR="002C7D62">
        <w:t>be removed or the</w:t>
      </w:r>
      <w:r w:rsidR="005850AC">
        <w:t>ir</w:t>
      </w:r>
      <w:r w:rsidR="002C7D62">
        <w:t xml:space="preserve"> output</w:t>
      </w:r>
      <w:r>
        <w:t xml:space="preserve"> categories collapsed to high levels to maintain confidentiality.</w:t>
      </w:r>
    </w:p>
    <w:p w:rsidR="00451F95" w:rsidRDefault="00451F95" w:rsidP="00990286"/>
    <w:p w:rsidR="008B534A" w:rsidRDefault="008B534A" w:rsidP="00990286"/>
    <w:p w:rsidR="00AD30CC" w:rsidRPr="000277D6" w:rsidRDefault="00E13E3F" w:rsidP="00AD30CC">
      <w:pPr>
        <w:pStyle w:val="Heading1"/>
        <w:rPr>
          <w:b/>
        </w:rPr>
      </w:pPr>
      <w:bookmarkStart w:id="3" w:name="_Toc390936268"/>
      <w:r>
        <w:rPr>
          <w:b/>
        </w:rPr>
        <w:t>2011 Census Microdata Products</w:t>
      </w:r>
      <w:r>
        <w:rPr>
          <w:rStyle w:val="FootnoteReference"/>
          <w:b/>
        </w:rPr>
        <w:footnoteReference w:id="1"/>
      </w:r>
      <w:bookmarkEnd w:id="3"/>
    </w:p>
    <w:p w:rsidR="00451F95" w:rsidRDefault="00451F95" w:rsidP="00B93F56"/>
    <w:p w:rsidR="00E13E3F" w:rsidRDefault="00B93F56" w:rsidP="00B93F56">
      <w:r>
        <w:t>3.1 The first microdata product to be published is a  person level Teaching File.</w:t>
      </w:r>
      <w:r w:rsidR="00162A60">
        <w:t xml:space="preserve"> This </w:t>
      </w:r>
      <w:r w:rsidR="00E13E3F">
        <w:t xml:space="preserve">comprises a sample of </w:t>
      </w:r>
      <w:r w:rsidR="006D6E43">
        <w:t>63</w:t>
      </w:r>
      <w:r w:rsidR="00E13E3F">
        <w:t>,</w:t>
      </w:r>
      <w:r w:rsidR="006D6E43">
        <w:t>388</w:t>
      </w:r>
      <w:r w:rsidR="00E13E3F">
        <w:t xml:space="preserve"> records (approximately 1 per cent) relating to people living (usually resident) in Scotland at the time of the 2011 Census.</w:t>
      </w:r>
      <w:r w:rsidR="00451F95">
        <w:t xml:space="preserve"> </w:t>
      </w:r>
      <w:r w:rsidR="00E13E3F">
        <w:t xml:space="preserve">For each individual, information is available for </w:t>
      </w:r>
      <w:r w:rsidR="00211C71">
        <w:t>1</w:t>
      </w:r>
      <w:r w:rsidR="006D6E43">
        <w:t>5</w:t>
      </w:r>
      <w:r w:rsidR="00162A60">
        <w:t xml:space="preserve"> </w:t>
      </w:r>
      <w:r w:rsidR="00E13E3F">
        <w:t>separate characteristics (e.g. age, sex marital status) to varying degrees of detail.</w:t>
      </w:r>
      <w:r w:rsidR="00162A60">
        <w:t xml:space="preserve"> </w:t>
      </w:r>
      <w:r w:rsidR="00E13E3F">
        <w:t xml:space="preserve">Further information on the categories available in the Teaching File for each characteristic is provided in Appendix 1, and additional background  on definitions is available on our </w:t>
      </w:r>
      <w:hyperlink r:id="rId16" w:history="1">
        <w:r w:rsidR="00E13E3F" w:rsidRPr="00690CA6">
          <w:rPr>
            <w:rStyle w:val="Hyperlink"/>
          </w:rPr>
          <w:t>website</w:t>
        </w:r>
      </w:hyperlink>
      <w:r w:rsidR="00E13E3F">
        <w:t xml:space="preserve">. </w:t>
      </w:r>
    </w:p>
    <w:p w:rsidR="00E13E3F" w:rsidRDefault="00E13E3F" w:rsidP="00B93F56"/>
    <w:p w:rsidR="00E13E3F" w:rsidRDefault="00E13E3F" w:rsidP="00E13E3F">
      <w:r>
        <w:t>3.2 The Teaching File has been published as a comma separated format text file (.</w:t>
      </w:r>
      <w:proofErr w:type="spellStart"/>
      <w:r>
        <w:t>csv</w:t>
      </w:r>
      <w:proofErr w:type="spellEnd"/>
      <w:r>
        <w:t xml:space="preserve">) on the </w:t>
      </w:r>
      <w:hyperlink r:id="rId17" w:history="1">
        <w:r w:rsidRPr="004F1329">
          <w:rPr>
            <w:rStyle w:val="Hyperlink"/>
          </w:rPr>
          <w:t>NRS Census 2011 website</w:t>
        </w:r>
      </w:hyperlink>
      <w:r>
        <w:t xml:space="preserve"> and is available to everyone subject to Crown Copyright protection (see section 6).</w:t>
      </w:r>
    </w:p>
    <w:p w:rsidR="00E13E3F" w:rsidRDefault="00E13E3F" w:rsidP="00E13E3F"/>
    <w:p w:rsidR="00E13E3F" w:rsidRDefault="00E13E3F" w:rsidP="00E13E3F">
      <w:pPr>
        <w:jc w:val="left"/>
      </w:pPr>
      <w:r>
        <w:t xml:space="preserve">3.3 Equivalent Teaching Files for </w:t>
      </w:r>
      <w:hyperlink r:id="rId18" w:history="1">
        <w:r w:rsidRPr="00EF450E">
          <w:rPr>
            <w:rStyle w:val="Hyperlink"/>
          </w:rPr>
          <w:t>England and Wales</w:t>
        </w:r>
      </w:hyperlink>
      <w:r>
        <w:t xml:space="preserve"> and for </w:t>
      </w:r>
      <w:hyperlink r:id="rId19" w:history="1">
        <w:r w:rsidRPr="00582316">
          <w:rPr>
            <w:rStyle w:val="Hyperlink"/>
          </w:rPr>
          <w:t>Northern Ireland</w:t>
        </w:r>
      </w:hyperlink>
      <w:r>
        <w:t xml:space="preserve"> have been published by the Office for National Statistics (</w:t>
      </w:r>
      <w:proofErr w:type="spellStart"/>
      <w:r>
        <w:t>ONS</w:t>
      </w:r>
      <w:proofErr w:type="spellEnd"/>
      <w:r>
        <w:t>) and the Northern Ireland Statistics and Research Agency (</w:t>
      </w:r>
      <w:proofErr w:type="spellStart"/>
      <w:r>
        <w:t>NISRA</w:t>
      </w:r>
      <w:proofErr w:type="spellEnd"/>
      <w:r>
        <w:t xml:space="preserve">) respectively. </w:t>
      </w:r>
    </w:p>
    <w:p w:rsidR="00E13E3F" w:rsidRDefault="00E13E3F" w:rsidP="00E13E3F"/>
    <w:p w:rsidR="00E13E3F" w:rsidRDefault="00E13E3F" w:rsidP="00E13E3F">
      <w:r>
        <w:t>3.4 In addition to the Teaching File, NRS are considering two further 2011 Census microdata products that will only be available under controlled access arrangements, as detailed below:</w:t>
      </w:r>
    </w:p>
    <w:p w:rsidR="005317C9" w:rsidRDefault="005317C9" w:rsidP="00B93F56"/>
    <w:p w:rsidR="002E0E88" w:rsidRDefault="002E0E88" w:rsidP="005317C9">
      <w:pPr>
        <w:pStyle w:val="ListParagraph"/>
        <w:numPr>
          <w:ilvl w:val="0"/>
          <w:numId w:val="7"/>
        </w:numPr>
      </w:pPr>
      <w:r>
        <w:rPr>
          <w:u w:val="single"/>
        </w:rPr>
        <w:t>Secure</w:t>
      </w:r>
      <w:r w:rsidR="005317C9" w:rsidRPr="002E0E88">
        <w:rPr>
          <w:u w:val="single"/>
        </w:rPr>
        <w:t xml:space="preserve"> products</w:t>
      </w:r>
      <w:r w:rsidR="005317C9">
        <w:t xml:space="preserve">: An anonymised </w:t>
      </w:r>
      <w:r w:rsidR="00E13E3F">
        <w:t xml:space="preserve">10 per cent </w:t>
      </w:r>
      <w:r w:rsidR="005317C9">
        <w:t xml:space="preserve">sample of individuals and an anonymised </w:t>
      </w:r>
      <w:r w:rsidR="00E13E3F">
        <w:t xml:space="preserve">10 per cent </w:t>
      </w:r>
      <w:r w:rsidR="005317C9">
        <w:t xml:space="preserve">sample of households. These samples will not overlap and will </w:t>
      </w:r>
      <w:r w:rsidR="00E13E3F">
        <w:t>provide</w:t>
      </w:r>
      <w:r w:rsidR="005317C9">
        <w:t xml:space="preserve"> the most detail</w:t>
      </w:r>
      <w:r w:rsidR="00E13E3F">
        <w:t xml:space="preserve"> for the characteristics included</w:t>
      </w:r>
      <w:r w:rsidR="005317C9">
        <w:t xml:space="preserve">. They will only be available </w:t>
      </w:r>
      <w:r>
        <w:t xml:space="preserve">in </w:t>
      </w:r>
      <w:r w:rsidR="00E13E3F">
        <w:t>a</w:t>
      </w:r>
      <w:r>
        <w:t xml:space="preserve"> secure setting </w:t>
      </w:r>
      <w:r w:rsidR="00E13E3F">
        <w:t>equivalent to the</w:t>
      </w:r>
      <w:r>
        <w:t xml:space="preserve"> Virtual Microdata Laboratory (</w:t>
      </w:r>
      <w:proofErr w:type="spellStart"/>
      <w:r>
        <w:t>VML</w:t>
      </w:r>
      <w:proofErr w:type="spellEnd"/>
      <w:r>
        <w:t xml:space="preserve">) managed by </w:t>
      </w:r>
      <w:proofErr w:type="spellStart"/>
      <w:r>
        <w:t>ONS</w:t>
      </w:r>
      <w:proofErr w:type="spellEnd"/>
      <w:r>
        <w:t xml:space="preserve">. In order to gain access </w:t>
      </w:r>
      <w:r w:rsidR="006D6E43">
        <w:t>to the data an application would need</w:t>
      </w:r>
      <w:r>
        <w:t xml:space="preserve"> to be submitted and approved by the data providers and signed contracts and licence agreements</w:t>
      </w:r>
      <w:r w:rsidR="00792A9F">
        <w:t xml:space="preserve"> are required</w:t>
      </w:r>
      <w:r>
        <w:t>.</w:t>
      </w:r>
    </w:p>
    <w:p w:rsidR="002E0E88" w:rsidRDefault="002E0E88" w:rsidP="002E0E88"/>
    <w:p w:rsidR="00AB3188" w:rsidRDefault="002E0E88" w:rsidP="00AB3188">
      <w:pPr>
        <w:pStyle w:val="ListParagraph"/>
        <w:numPr>
          <w:ilvl w:val="0"/>
          <w:numId w:val="7"/>
        </w:numPr>
      </w:pPr>
      <w:r w:rsidRPr="00211C71">
        <w:rPr>
          <w:u w:val="single"/>
        </w:rPr>
        <w:t>Safeguarded products</w:t>
      </w:r>
      <w:r>
        <w:t xml:space="preserve">: An anonymised </w:t>
      </w:r>
      <w:r w:rsidR="00AB3188">
        <w:t xml:space="preserve">5 per cent </w:t>
      </w:r>
      <w:r>
        <w:t>sample of individuals</w:t>
      </w:r>
      <w:r w:rsidR="00AB3188">
        <w:t xml:space="preserve"> </w:t>
      </w:r>
      <w:r>
        <w:t xml:space="preserve">will be available </w:t>
      </w:r>
      <w:r w:rsidR="00D36080">
        <w:t>to approved researchers via specific end-user license arrangements. The sample will be drawn from the 10</w:t>
      </w:r>
      <w:r w:rsidR="00AB3188">
        <w:t xml:space="preserve"> per cent secure </w:t>
      </w:r>
      <w:r w:rsidR="00D36080">
        <w:t xml:space="preserve"> individual sample </w:t>
      </w:r>
      <w:r w:rsidR="00AB3188">
        <w:t xml:space="preserve">mentioned above </w:t>
      </w:r>
      <w:r w:rsidR="00D36080">
        <w:t xml:space="preserve">and will therefore overlap with </w:t>
      </w:r>
      <w:r w:rsidR="00AB3188">
        <w:t>it</w:t>
      </w:r>
      <w:r w:rsidR="00D36080">
        <w:t>.</w:t>
      </w:r>
      <w:r w:rsidR="00211C71">
        <w:t xml:space="preserve"> </w:t>
      </w:r>
      <w:r w:rsidR="00AB3188">
        <w:t>However, there will be a reduced</w:t>
      </w:r>
      <w:r w:rsidR="00211C71">
        <w:t xml:space="preserve"> level of detail </w:t>
      </w:r>
      <w:r w:rsidR="00AB3188">
        <w:t>available in the safeguarded product,</w:t>
      </w:r>
      <w:r w:rsidR="00211C71">
        <w:t xml:space="preserve"> reflect</w:t>
      </w:r>
      <w:r w:rsidR="00AB3188">
        <w:t>ing</w:t>
      </w:r>
      <w:r w:rsidR="00211C71">
        <w:t xml:space="preserve"> the associated access arrangements and the</w:t>
      </w:r>
      <w:r w:rsidR="00AB3188">
        <w:t xml:space="preserve"> paramount</w:t>
      </w:r>
      <w:r w:rsidR="00211C71">
        <w:t xml:space="preserve"> need to preserve the confidentiality of </w:t>
      </w:r>
      <w:r w:rsidR="00AB3188">
        <w:t>personal census information on individuals</w:t>
      </w:r>
      <w:r w:rsidR="00211C71">
        <w:t>.</w:t>
      </w:r>
    </w:p>
    <w:p w:rsidR="00AD30CC" w:rsidRDefault="00AD30CC" w:rsidP="00990286"/>
    <w:p w:rsidR="00AB3188" w:rsidRDefault="00AB3188" w:rsidP="00AB3188">
      <w:pPr>
        <w:pStyle w:val="ListParagraph"/>
        <w:ind w:left="0"/>
      </w:pPr>
      <w:r>
        <w:t>3.5 Further proposals on the content and access arrangements for the 2011 Census secure and safeguarded microdata products for Scotland will be provided later in 2014.</w:t>
      </w:r>
    </w:p>
    <w:p w:rsidR="00AB3188" w:rsidRDefault="00AB3188" w:rsidP="00990286"/>
    <w:p w:rsidR="00AB3188" w:rsidRDefault="00AB3188" w:rsidP="00990286"/>
    <w:p w:rsidR="00EB5EBB" w:rsidRPr="000277D6" w:rsidRDefault="00AB3188" w:rsidP="00EB5EBB">
      <w:pPr>
        <w:pStyle w:val="Heading1"/>
        <w:rPr>
          <w:b/>
        </w:rPr>
      </w:pPr>
      <w:bookmarkStart w:id="4" w:name="_Toc390936269"/>
      <w:r>
        <w:rPr>
          <w:b/>
        </w:rPr>
        <w:t xml:space="preserve">Purpose of the 2011 Census </w:t>
      </w:r>
      <w:r w:rsidR="00EB5EBB" w:rsidRPr="000277D6">
        <w:rPr>
          <w:b/>
        </w:rPr>
        <w:t>Microdata Teaching File</w:t>
      </w:r>
      <w:bookmarkEnd w:id="4"/>
    </w:p>
    <w:p w:rsidR="00EB5EBB" w:rsidRDefault="00EB5EBB" w:rsidP="00990286"/>
    <w:p w:rsidR="00990286" w:rsidRDefault="00AD30CC" w:rsidP="00990286">
      <w:r>
        <w:t>4</w:t>
      </w:r>
      <w:r w:rsidR="00990286">
        <w:t>.</w:t>
      </w:r>
      <w:r w:rsidR="00B93F56">
        <w:t>1</w:t>
      </w:r>
      <w:r w:rsidR="00990286">
        <w:t xml:space="preserve"> The primary purpose of the Teaching File is as an educational tool aimed at:</w:t>
      </w:r>
    </w:p>
    <w:p w:rsidR="00990286" w:rsidRDefault="00FB6443" w:rsidP="00FB6443">
      <w:pPr>
        <w:pStyle w:val="ListParagraph"/>
        <w:numPr>
          <w:ilvl w:val="0"/>
          <w:numId w:val="5"/>
        </w:numPr>
        <w:jc w:val="left"/>
      </w:pPr>
      <w:r>
        <w:t>assist</w:t>
      </w:r>
      <w:r w:rsidR="00510DDD">
        <w:t>ing</w:t>
      </w:r>
      <w:r>
        <w:t xml:space="preserve"> with the teaching of statistics and geography in school</w:t>
      </w:r>
      <w:r w:rsidR="006D6E43">
        <w:t>s</w:t>
      </w:r>
      <w:r>
        <w:t xml:space="preserve"> and </w:t>
      </w:r>
      <w:r w:rsidR="006D6E43">
        <w:t>education establishments</w:t>
      </w:r>
      <w:r w:rsidR="00990286">
        <w:t>;</w:t>
      </w:r>
    </w:p>
    <w:p w:rsidR="00990286" w:rsidRDefault="00990286" w:rsidP="00990286">
      <w:pPr>
        <w:pStyle w:val="ListParagraph"/>
        <w:numPr>
          <w:ilvl w:val="0"/>
          <w:numId w:val="5"/>
        </w:numPr>
        <w:jc w:val="left"/>
      </w:pPr>
      <w:r>
        <w:t xml:space="preserve">providing an introduction to the detail, </w:t>
      </w:r>
      <w:r w:rsidR="00FB6443">
        <w:t>available</w:t>
      </w:r>
      <w:r>
        <w:t xml:space="preserve"> in microdata products in order to give users the skills and information necessary to make use of the more detailed products to come;</w:t>
      </w:r>
    </w:p>
    <w:p w:rsidR="00FB6443" w:rsidRDefault="00FB6443" w:rsidP="00990286">
      <w:pPr>
        <w:pStyle w:val="ListParagraph"/>
        <w:numPr>
          <w:ilvl w:val="0"/>
          <w:numId w:val="5"/>
        </w:numPr>
        <w:jc w:val="left"/>
      </w:pPr>
      <w:r>
        <w:t>encouraging wider use of census data by providing a way of examining census data beyond the standard tables.</w:t>
      </w:r>
    </w:p>
    <w:p w:rsidR="00990286" w:rsidRDefault="00990286" w:rsidP="00990286">
      <w:pPr>
        <w:jc w:val="left"/>
      </w:pPr>
    </w:p>
    <w:p w:rsidR="00421EC5" w:rsidRDefault="00421EC5" w:rsidP="00421EC5">
      <w:pPr>
        <w:jc w:val="left"/>
      </w:pPr>
      <w:r>
        <w:t>4.2 Due to the relatively small sample size and limited detail available for each of the characteristics included, the Teaching File may not always be the most appropriate data set for analysis. For example:</w:t>
      </w:r>
    </w:p>
    <w:p w:rsidR="00421EC5" w:rsidRDefault="00421EC5" w:rsidP="00421EC5">
      <w:pPr>
        <w:pStyle w:val="ListParagraph"/>
        <w:numPr>
          <w:ilvl w:val="0"/>
          <w:numId w:val="6"/>
        </w:numPr>
        <w:jc w:val="left"/>
      </w:pPr>
      <w:r>
        <w:t xml:space="preserve">Using a </w:t>
      </w:r>
      <w:hyperlink r:id="rId20" w:history="1">
        <w:r w:rsidRPr="00F105FD">
          <w:rPr>
            <w:rStyle w:val="Hyperlink"/>
          </w:rPr>
          <w:t>publish</w:t>
        </w:r>
        <w:r w:rsidRPr="00F105FD">
          <w:rPr>
            <w:rStyle w:val="Hyperlink"/>
          </w:rPr>
          <w:t>e</w:t>
        </w:r>
        <w:r w:rsidRPr="00F105FD">
          <w:rPr>
            <w:rStyle w:val="Hyperlink"/>
          </w:rPr>
          <w:t>d table</w:t>
        </w:r>
      </w:hyperlink>
      <w:r>
        <w:t xml:space="preserve"> that includes the entire population is always more appropriate when considering the population of Scotland as a whole.</w:t>
      </w:r>
    </w:p>
    <w:p w:rsidR="00421EC5" w:rsidRDefault="00421EC5" w:rsidP="00421EC5">
      <w:pPr>
        <w:pStyle w:val="ListParagraph"/>
        <w:numPr>
          <w:ilvl w:val="0"/>
          <w:numId w:val="6"/>
        </w:numPr>
        <w:jc w:val="left"/>
      </w:pPr>
      <w:r>
        <w:t xml:space="preserve">It may be more appropriate to use more detailed classifications available from a standard census table or (once available), from the secure/safeguarded census  microdata products. For example, if the research question is looking at differences between those aged 18 and over  and those aged under 18 then it would be better to use data that has single year of age rather than 16-24 age grouping available in the Teaching File.   </w:t>
      </w:r>
    </w:p>
    <w:p w:rsidR="00421EC5" w:rsidRDefault="00421EC5" w:rsidP="00421EC5">
      <w:pPr>
        <w:jc w:val="left"/>
      </w:pPr>
    </w:p>
    <w:p w:rsidR="00990286" w:rsidRDefault="00421EC5" w:rsidP="00421EC5">
      <w:pPr>
        <w:jc w:val="left"/>
      </w:pPr>
      <w:r>
        <w:t>4.3 If detailed multivariate analysis is required, then the small sample size of the Teaching File may result in reduced reliability for any conclusions drawn. If detailed multivariate analysis is required then consideration should be given to further collapsing categories or using the secure/safeguarded microdata products with their larger sample sizes.</w:t>
      </w:r>
    </w:p>
    <w:p w:rsidR="00690CA6" w:rsidRDefault="00690CA6" w:rsidP="00990286">
      <w:pPr>
        <w:jc w:val="left"/>
      </w:pPr>
    </w:p>
    <w:p w:rsidR="00990286" w:rsidRPr="000277D6" w:rsidRDefault="007233CF" w:rsidP="007233CF">
      <w:pPr>
        <w:pStyle w:val="Heading1"/>
        <w:rPr>
          <w:b/>
        </w:rPr>
      </w:pPr>
      <w:bookmarkStart w:id="5" w:name="_Toc390936270"/>
      <w:r w:rsidRPr="000277D6">
        <w:rPr>
          <w:b/>
        </w:rPr>
        <w:t>Sampling</w:t>
      </w:r>
      <w:bookmarkEnd w:id="5"/>
    </w:p>
    <w:p w:rsidR="007233CF" w:rsidRDefault="007233CF" w:rsidP="00990286">
      <w:pPr>
        <w:jc w:val="left"/>
      </w:pPr>
    </w:p>
    <w:p w:rsidR="007233CF" w:rsidRDefault="007233CF" w:rsidP="00990286">
      <w:pPr>
        <w:jc w:val="left"/>
      </w:pPr>
      <w:r>
        <w:t xml:space="preserve">5.1 </w:t>
      </w:r>
      <w:r w:rsidR="00421EC5">
        <w:t xml:space="preserve">A  random 1 per cent sample of individual person records was selected from the complete 2011 Census database. The distribution of each variable was compared to the distribution of the complete 2011 Census to make sure that the Teaching File is representative of the population as a whole. As this is a sample, it is subject to </w:t>
      </w:r>
      <w:r w:rsidR="00421EC5">
        <w:lastRenderedPageBreak/>
        <w:t>sampling error, which arises whenever variable estimates are based on a sample rather than a full census of the population. Care should be taken when generalising findings from any sample to a wider population, with due consideration to the reliability of results.</w:t>
      </w:r>
    </w:p>
    <w:p w:rsidR="005A1D93" w:rsidRDefault="005A1D93" w:rsidP="00990286">
      <w:pPr>
        <w:jc w:val="left"/>
      </w:pPr>
    </w:p>
    <w:p w:rsidR="00FE15D2" w:rsidRPr="000277D6" w:rsidRDefault="00EE5E33" w:rsidP="008B534A">
      <w:pPr>
        <w:pStyle w:val="Heading1"/>
        <w:rPr>
          <w:b/>
        </w:rPr>
      </w:pPr>
      <w:bookmarkStart w:id="6" w:name="_Toc390936271"/>
      <w:r w:rsidRPr="000277D6">
        <w:rPr>
          <w:b/>
        </w:rPr>
        <w:t>How the Teaching File should be cited</w:t>
      </w:r>
      <w:bookmarkEnd w:id="6"/>
    </w:p>
    <w:p w:rsidR="00FA1C12" w:rsidRDefault="00FA1C12" w:rsidP="00E36759"/>
    <w:p w:rsidR="008B534A" w:rsidRDefault="00B93F56" w:rsidP="00E36759">
      <w:r>
        <w:t>6</w:t>
      </w:r>
      <w:r w:rsidR="008B534A">
        <w:t>.1 All material on the NRS website is covered by Crown Copyright protection unless otherwise stated.</w:t>
      </w:r>
    </w:p>
    <w:p w:rsidR="008B534A" w:rsidRDefault="008B534A" w:rsidP="00E36759"/>
    <w:p w:rsidR="00FA1C12" w:rsidRDefault="00B93F56" w:rsidP="00E36759">
      <w:r>
        <w:t>6</w:t>
      </w:r>
      <w:r w:rsidR="008B534A">
        <w:t xml:space="preserve">.2 </w:t>
      </w:r>
      <w:r w:rsidR="00FA1C12">
        <w:t>Information in the Teaching File</w:t>
      </w:r>
      <w:r w:rsidR="00DB6D9F">
        <w:t xml:space="preserve"> (not including logos)</w:t>
      </w:r>
      <w:r w:rsidR="00FA1C12">
        <w:t xml:space="preserve"> can</w:t>
      </w:r>
      <w:r w:rsidR="003F2EA4">
        <w:t xml:space="preserve"> be </w:t>
      </w:r>
      <w:r w:rsidR="00FA1C12">
        <w:t>reproduced</w:t>
      </w:r>
      <w:r w:rsidR="003F2EA4">
        <w:t xml:space="preserve"> or adapted</w:t>
      </w:r>
      <w:r w:rsidR="00DB6D9F">
        <w:t xml:space="preserve"> freely without a spe</w:t>
      </w:r>
      <w:r w:rsidR="008B534A">
        <w:t>cific application for a licence</w:t>
      </w:r>
      <w:r w:rsidR="00DB6D9F">
        <w:t xml:space="preserve"> under the terms of the </w:t>
      </w:r>
      <w:hyperlink r:id="rId21" w:history="1">
        <w:r w:rsidR="00DB6D9F" w:rsidRPr="00DB6D9F">
          <w:rPr>
            <w:rStyle w:val="Hyperlink"/>
          </w:rPr>
          <w:t>Open Government Licence</w:t>
        </w:r>
      </w:hyperlink>
      <w:r w:rsidR="00DB6D9F">
        <w:t xml:space="preserve"> </w:t>
      </w:r>
      <w:r w:rsidR="008B534A">
        <w:t>as long as the source is acknowledged</w:t>
      </w:r>
      <w:r w:rsidR="00DB6D9F">
        <w:t xml:space="preserve">. If you </w:t>
      </w:r>
      <w:r w:rsidR="008B534A">
        <w:t>reproduce the information</w:t>
      </w:r>
      <w:r w:rsidR="00DB6D9F">
        <w:t xml:space="preserve"> then you have to include </w:t>
      </w:r>
      <w:r w:rsidR="003F2EA4">
        <w:t>the following</w:t>
      </w:r>
      <w:r w:rsidR="00DB6D9F">
        <w:t xml:space="preserve"> source accreditation</w:t>
      </w:r>
      <w:r w:rsidR="003F2EA4">
        <w:t>:</w:t>
      </w:r>
      <w:r w:rsidR="00DB6D9F">
        <w:t xml:space="preserve"> N</w:t>
      </w:r>
      <w:r w:rsidR="003F2EA4">
        <w:t xml:space="preserve">ational </w:t>
      </w:r>
      <w:r w:rsidR="00DB6D9F">
        <w:t>R</w:t>
      </w:r>
      <w:r w:rsidR="003F2EA4">
        <w:t xml:space="preserve">ecords of </w:t>
      </w:r>
      <w:r w:rsidR="00DB6D9F">
        <w:t>S</w:t>
      </w:r>
      <w:r w:rsidR="003F2EA4">
        <w:t>cotland licensed under the Open Government Licence</w:t>
      </w:r>
      <w:r w:rsidR="00DB6D9F">
        <w:t xml:space="preserve">. </w:t>
      </w:r>
      <w:r w:rsidR="001C5F61">
        <w:t xml:space="preserve">If you adapt </w:t>
      </w:r>
      <w:r w:rsidR="00E5631B">
        <w:t>the</w:t>
      </w:r>
      <w:r w:rsidR="001C5F61">
        <w:t xml:space="preserve"> information you have to include the following source accreditation: Adapted from data from National Records of Scotland licensed under the Open Government Licence.</w:t>
      </w:r>
    </w:p>
    <w:p w:rsidR="001A49D6" w:rsidRDefault="00421EC5" w:rsidP="00421EC5">
      <w:pPr>
        <w:tabs>
          <w:tab w:val="clear" w:pos="720"/>
          <w:tab w:val="clear" w:pos="1440"/>
          <w:tab w:val="clear" w:pos="2160"/>
          <w:tab w:val="clear" w:pos="2880"/>
          <w:tab w:val="clear" w:pos="4680"/>
          <w:tab w:val="clear" w:pos="5400"/>
          <w:tab w:val="clear" w:pos="9000"/>
        </w:tabs>
        <w:spacing w:line="240" w:lineRule="auto"/>
        <w:jc w:val="left"/>
      </w:pPr>
      <w:r>
        <w:br w:type="page"/>
      </w:r>
    </w:p>
    <w:p w:rsidR="001A49D6" w:rsidRPr="000277D6" w:rsidRDefault="000277D6" w:rsidP="001A49D6">
      <w:pPr>
        <w:pStyle w:val="Heading1"/>
        <w:rPr>
          <w:b/>
        </w:rPr>
      </w:pPr>
      <w:bookmarkStart w:id="7" w:name="_Toc390936272"/>
      <w:r w:rsidRPr="000277D6">
        <w:rPr>
          <w:b/>
        </w:rPr>
        <w:lastRenderedPageBreak/>
        <w:t>Appendix 1: Contents of the Teaching File</w:t>
      </w:r>
      <w:bookmarkEnd w:id="7"/>
    </w:p>
    <w:p w:rsidR="001A49D6" w:rsidRDefault="001A49D6" w:rsidP="001A49D6"/>
    <w:tbl>
      <w:tblPr>
        <w:tblStyle w:val="TableGrid"/>
        <w:tblW w:w="0" w:type="auto"/>
        <w:tblLayout w:type="fixed"/>
        <w:tblLook w:val="04A0" w:firstRow="1" w:lastRow="0" w:firstColumn="1" w:lastColumn="0" w:noHBand="0" w:noVBand="1"/>
      </w:tblPr>
      <w:tblGrid>
        <w:gridCol w:w="3227"/>
        <w:gridCol w:w="1559"/>
        <w:gridCol w:w="4456"/>
      </w:tblGrid>
      <w:tr w:rsidR="008B39A8" w:rsidTr="000277D6">
        <w:tc>
          <w:tcPr>
            <w:tcW w:w="3227" w:type="dxa"/>
          </w:tcPr>
          <w:p w:rsidR="008B39A8" w:rsidRPr="000277D6" w:rsidRDefault="008B39A8" w:rsidP="001A49D6">
            <w:pPr>
              <w:rPr>
                <w:b/>
              </w:rPr>
            </w:pPr>
            <w:r w:rsidRPr="000277D6">
              <w:rPr>
                <w:b/>
              </w:rPr>
              <w:t>Variable Name</w:t>
            </w:r>
          </w:p>
        </w:tc>
        <w:tc>
          <w:tcPr>
            <w:tcW w:w="1559" w:type="dxa"/>
          </w:tcPr>
          <w:p w:rsidR="008B39A8" w:rsidRPr="000277D6" w:rsidRDefault="008B39A8" w:rsidP="001A49D6">
            <w:pPr>
              <w:rPr>
                <w:b/>
              </w:rPr>
            </w:pPr>
            <w:r w:rsidRPr="000277D6">
              <w:rPr>
                <w:b/>
              </w:rPr>
              <w:t>Number of</w:t>
            </w:r>
          </w:p>
          <w:p w:rsidR="008B39A8" w:rsidRPr="000277D6" w:rsidRDefault="008B39A8" w:rsidP="001A49D6">
            <w:pPr>
              <w:rPr>
                <w:b/>
              </w:rPr>
            </w:pPr>
            <w:r w:rsidRPr="000277D6">
              <w:rPr>
                <w:b/>
              </w:rPr>
              <w:t>Categories</w:t>
            </w:r>
          </w:p>
        </w:tc>
        <w:tc>
          <w:tcPr>
            <w:tcW w:w="4456" w:type="dxa"/>
          </w:tcPr>
          <w:p w:rsidR="008B39A8" w:rsidRPr="000277D6" w:rsidRDefault="008B39A8" w:rsidP="001A49D6">
            <w:pPr>
              <w:rPr>
                <w:b/>
              </w:rPr>
            </w:pPr>
            <w:r w:rsidRPr="000277D6">
              <w:rPr>
                <w:b/>
              </w:rPr>
              <w:t xml:space="preserve">Variable </w:t>
            </w:r>
          </w:p>
          <w:p w:rsidR="008B39A8" w:rsidRPr="000277D6" w:rsidRDefault="000277D6" w:rsidP="001A49D6">
            <w:pPr>
              <w:rPr>
                <w:b/>
              </w:rPr>
            </w:pPr>
            <w:r w:rsidRPr="000277D6">
              <w:rPr>
                <w:b/>
              </w:rPr>
              <w:t>Values</w:t>
            </w:r>
          </w:p>
        </w:tc>
      </w:tr>
      <w:tr w:rsidR="008B39A8" w:rsidTr="000277D6">
        <w:tc>
          <w:tcPr>
            <w:tcW w:w="3227" w:type="dxa"/>
          </w:tcPr>
          <w:p w:rsidR="008B39A8" w:rsidRPr="001A49D6" w:rsidRDefault="008B39A8" w:rsidP="001A49D6">
            <w:pPr>
              <w:rPr>
                <w:szCs w:val="24"/>
              </w:rPr>
            </w:pPr>
            <w:proofErr w:type="spellStart"/>
            <w:r>
              <w:rPr>
                <w:szCs w:val="24"/>
              </w:rPr>
              <w:t>Record_</w:t>
            </w:r>
            <w:r w:rsidRPr="001A49D6">
              <w:rPr>
                <w:szCs w:val="24"/>
              </w:rPr>
              <w:t>Number</w:t>
            </w:r>
            <w:proofErr w:type="spellEnd"/>
          </w:p>
        </w:tc>
        <w:tc>
          <w:tcPr>
            <w:tcW w:w="1559" w:type="dxa"/>
          </w:tcPr>
          <w:p w:rsidR="008B39A8" w:rsidRPr="001A49D6" w:rsidRDefault="00E72011" w:rsidP="001A49D6">
            <w:pPr>
              <w:rPr>
                <w:szCs w:val="24"/>
              </w:rPr>
            </w:pPr>
            <w:r>
              <w:rPr>
                <w:szCs w:val="24"/>
              </w:rPr>
              <w:t>Unique reference ID</w:t>
            </w:r>
          </w:p>
        </w:tc>
        <w:tc>
          <w:tcPr>
            <w:tcW w:w="4456" w:type="dxa"/>
          </w:tcPr>
          <w:p w:rsidR="008B39A8" w:rsidRPr="001A49D6" w:rsidRDefault="00E72011" w:rsidP="001A49D6">
            <w:pPr>
              <w:rPr>
                <w:szCs w:val="24"/>
              </w:rPr>
            </w:pPr>
            <w:r>
              <w:rPr>
                <w:szCs w:val="24"/>
              </w:rPr>
              <w:t>Unique reference ID</w:t>
            </w:r>
          </w:p>
        </w:tc>
      </w:tr>
      <w:tr w:rsidR="008B39A8" w:rsidTr="000277D6">
        <w:tc>
          <w:tcPr>
            <w:tcW w:w="3227" w:type="dxa"/>
          </w:tcPr>
          <w:p w:rsidR="008B39A8" w:rsidRPr="001A49D6" w:rsidRDefault="008B39A8" w:rsidP="001A49D6">
            <w:pPr>
              <w:rPr>
                <w:szCs w:val="24"/>
              </w:rPr>
            </w:pPr>
            <w:r w:rsidRPr="001A49D6">
              <w:rPr>
                <w:szCs w:val="24"/>
              </w:rPr>
              <w:t>Region</w:t>
            </w:r>
          </w:p>
        </w:tc>
        <w:tc>
          <w:tcPr>
            <w:tcW w:w="1559" w:type="dxa"/>
          </w:tcPr>
          <w:p w:rsidR="008B39A8" w:rsidRPr="001A49D6" w:rsidRDefault="008B39A8" w:rsidP="001A49D6">
            <w:pPr>
              <w:rPr>
                <w:szCs w:val="24"/>
              </w:rPr>
            </w:pPr>
            <w:r w:rsidRPr="001A49D6">
              <w:rPr>
                <w:szCs w:val="24"/>
              </w:rPr>
              <w:t>1</w:t>
            </w:r>
          </w:p>
        </w:tc>
        <w:tc>
          <w:tcPr>
            <w:tcW w:w="4456" w:type="dxa"/>
          </w:tcPr>
          <w:p w:rsidR="008B39A8" w:rsidRPr="001A49D6" w:rsidRDefault="008B39A8" w:rsidP="001A49D6">
            <w:pPr>
              <w:rPr>
                <w:szCs w:val="24"/>
              </w:rPr>
            </w:pPr>
            <w:proofErr w:type="spellStart"/>
            <w:r w:rsidRPr="001A49D6">
              <w:rPr>
                <w:szCs w:val="24"/>
              </w:rPr>
              <w:t>S92000003</w:t>
            </w:r>
            <w:proofErr w:type="spellEnd"/>
          </w:p>
        </w:tc>
      </w:tr>
      <w:tr w:rsidR="008B39A8" w:rsidTr="000277D6">
        <w:tc>
          <w:tcPr>
            <w:tcW w:w="3227" w:type="dxa"/>
          </w:tcPr>
          <w:p w:rsidR="008B39A8" w:rsidRPr="001A49D6" w:rsidRDefault="008B39A8" w:rsidP="001A49D6">
            <w:pPr>
              <w:rPr>
                <w:szCs w:val="24"/>
              </w:rPr>
            </w:pPr>
            <w:proofErr w:type="spellStart"/>
            <w:r>
              <w:rPr>
                <w:szCs w:val="24"/>
              </w:rPr>
              <w:t>Residence_</w:t>
            </w:r>
            <w:r w:rsidRPr="001A49D6">
              <w:rPr>
                <w:szCs w:val="24"/>
              </w:rPr>
              <w:t>Type</w:t>
            </w:r>
            <w:proofErr w:type="spellEnd"/>
          </w:p>
        </w:tc>
        <w:tc>
          <w:tcPr>
            <w:tcW w:w="1559" w:type="dxa"/>
          </w:tcPr>
          <w:p w:rsidR="008B39A8" w:rsidRPr="001A49D6" w:rsidRDefault="008B39A8" w:rsidP="001A49D6">
            <w:pPr>
              <w:rPr>
                <w:szCs w:val="24"/>
              </w:rPr>
            </w:pPr>
            <w:r w:rsidRPr="001A49D6">
              <w:rPr>
                <w:szCs w:val="24"/>
              </w:rPr>
              <w:t>2</w:t>
            </w:r>
          </w:p>
        </w:tc>
        <w:tc>
          <w:tcPr>
            <w:tcW w:w="4456" w:type="dxa"/>
          </w:tcPr>
          <w:p w:rsidR="008B39A8" w:rsidRPr="001A49D6" w:rsidRDefault="008B39A8" w:rsidP="001A49D6">
            <w:pPr>
              <w:rPr>
                <w:szCs w:val="24"/>
              </w:rPr>
            </w:pPr>
            <w:r w:rsidRPr="001A49D6">
              <w:rPr>
                <w:szCs w:val="24"/>
              </w:rPr>
              <w:t>C</w:t>
            </w:r>
            <w:r w:rsidR="00AF652C">
              <w:rPr>
                <w:szCs w:val="24"/>
              </w:rPr>
              <w:t>.</w:t>
            </w:r>
            <w:r>
              <w:rPr>
                <w:szCs w:val="24"/>
              </w:rPr>
              <w:t xml:space="preserve"> </w:t>
            </w:r>
            <w:r w:rsidRPr="001A49D6">
              <w:rPr>
                <w:szCs w:val="24"/>
              </w:rPr>
              <w:t>Resident in a Communal Establishment</w:t>
            </w:r>
          </w:p>
          <w:p w:rsidR="008B39A8" w:rsidRPr="001A49D6" w:rsidRDefault="008B39A8" w:rsidP="001A49D6">
            <w:pPr>
              <w:rPr>
                <w:szCs w:val="24"/>
              </w:rPr>
            </w:pPr>
            <w:r w:rsidRPr="001A49D6">
              <w:rPr>
                <w:szCs w:val="24"/>
              </w:rPr>
              <w:t>P</w:t>
            </w:r>
            <w:r w:rsidR="00AF652C">
              <w:rPr>
                <w:szCs w:val="24"/>
              </w:rPr>
              <w:t>.</w:t>
            </w:r>
            <w:r>
              <w:rPr>
                <w:szCs w:val="24"/>
              </w:rPr>
              <w:t xml:space="preserve"> </w:t>
            </w:r>
            <w:r w:rsidRPr="001A49D6">
              <w:rPr>
                <w:szCs w:val="24"/>
              </w:rPr>
              <w:t>Not resident in a Communal Establishment</w:t>
            </w:r>
          </w:p>
        </w:tc>
      </w:tr>
      <w:tr w:rsidR="008B39A8" w:rsidTr="000277D6">
        <w:tc>
          <w:tcPr>
            <w:tcW w:w="3227" w:type="dxa"/>
          </w:tcPr>
          <w:p w:rsidR="008B39A8" w:rsidRDefault="008B39A8" w:rsidP="001A49D6">
            <w:proofErr w:type="spellStart"/>
            <w:r>
              <w:t>Family_Composition</w:t>
            </w:r>
            <w:proofErr w:type="spellEnd"/>
          </w:p>
        </w:tc>
        <w:tc>
          <w:tcPr>
            <w:tcW w:w="1559" w:type="dxa"/>
          </w:tcPr>
          <w:p w:rsidR="008B39A8" w:rsidRDefault="008B39A8" w:rsidP="001A49D6">
            <w:r>
              <w:t>6</w:t>
            </w:r>
          </w:p>
          <w:p w:rsidR="008B39A8" w:rsidRDefault="0011073D" w:rsidP="001A49D6">
            <w:r>
              <w:t>(also X)</w:t>
            </w:r>
          </w:p>
        </w:tc>
        <w:tc>
          <w:tcPr>
            <w:tcW w:w="4456" w:type="dxa"/>
          </w:tcPr>
          <w:p w:rsidR="008B39A8" w:rsidRDefault="008B39A8" w:rsidP="001A49D6">
            <w:r>
              <w:t>0</w:t>
            </w:r>
            <w:r w:rsidR="0011073D">
              <w:t>.</w:t>
            </w:r>
            <w:r>
              <w:t xml:space="preserve"> Not in a family</w:t>
            </w:r>
          </w:p>
          <w:p w:rsidR="008B39A8" w:rsidRDefault="008B39A8" w:rsidP="001A49D6">
            <w:r>
              <w:t>1</w:t>
            </w:r>
            <w:r w:rsidR="0011073D">
              <w:t>.</w:t>
            </w:r>
            <w:r>
              <w:t xml:space="preserve"> Married/same-sex civil partnership  couple family</w:t>
            </w:r>
          </w:p>
          <w:p w:rsidR="008B39A8" w:rsidRDefault="008B39A8" w:rsidP="001A49D6">
            <w:r>
              <w:t>2</w:t>
            </w:r>
            <w:r w:rsidR="0011073D">
              <w:t>.</w:t>
            </w:r>
            <w:r>
              <w:t xml:space="preserve"> Cohabiting couple family</w:t>
            </w:r>
          </w:p>
          <w:p w:rsidR="008B39A8" w:rsidRDefault="008B39A8" w:rsidP="001A49D6">
            <w:r>
              <w:t>3</w:t>
            </w:r>
            <w:r w:rsidR="0011073D">
              <w:t>.</w:t>
            </w:r>
            <w:r>
              <w:t xml:space="preserve"> Lone parent family (male head)</w:t>
            </w:r>
          </w:p>
          <w:p w:rsidR="008B39A8" w:rsidRDefault="008B39A8" w:rsidP="001A49D6">
            <w:r>
              <w:t>4</w:t>
            </w:r>
            <w:r w:rsidR="0011073D">
              <w:t>.</w:t>
            </w:r>
            <w:r>
              <w:t xml:space="preserve"> Lone parent family (female lead)</w:t>
            </w:r>
          </w:p>
          <w:p w:rsidR="008B39A8" w:rsidRDefault="008B39A8" w:rsidP="001A49D6">
            <w:r>
              <w:t>5</w:t>
            </w:r>
            <w:r w:rsidR="0011073D">
              <w:t>.</w:t>
            </w:r>
            <w:r>
              <w:t xml:space="preserve"> Other related family</w:t>
            </w:r>
          </w:p>
          <w:p w:rsidR="008B39A8" w:rsidRDefault="0011073D" w:rsidP="001A49D6">
            <w:r>
              <w:t>X.</w:t>
            </w:r>
            <w:r w:rsidR="008B39A8">
              <w:t xml:space="preserve"> No code required (residents of a communal establishment)</w:t>
            </w:r>
          </w:p>
        </w:tc>
      </w:tr>
      <w:tr w:rsidR="008B39A8" w:rsidTr="000277D6">
        <w:tc>
          <w:tcPr>
            <w:tcW w:w="3227" w:type="dxa"/>
          </w:tcPr>
          <w:p w:rsidR="008B39A8" w:rsidRDefault="008B39A8" w:rsidP="001A49D6">
            <w:r>
              <w:t>Sex</w:t>
            </w:r>
          </w:p>
        </w:tc>
        <w:tc>
          <w:tcPr>
            <w:tcW w:w="1559" w:type="dxa"/>
          </w:tcPr>
          <w:p w:rsidR="008B39A8" w:rsidRDefault="008B39A8" w:rsidP="001A49D6">
            <w:r>
              <w:t>2</w:t>
            </w:r>
          </w:p>
        </w:tc>
        <w:tc>
          <w:tcPr>
            <w:tcW w:w="4456" w:type="dxa"/>
          </w:tcPr>
          <w:p w:rsidR="008B39A8" w:rsidRDefault="008B39A8" w:rsidP="001A49D6">
            <w:r>
              <w:t>1</w:t>
            </w:r>
            <w:r w:rsidR="0011073D">
              <w:t>.</w:t>
            </w:r>
            <w:r>
              <w:t xml:space="preserve"> Male</w:t>
            </w:r>
          </w:p>
          <w:p w:rsidR="008B39A8" w:rsidRDefault="008B39A8" w:rsidP="001A49D6">
            <w:r>
              <w:t>2</w:t>
            </w:r>
            <w:r w:rsidR="0011073D">
              <w:t>.</w:t>
            </w:r>
            <w:r>
              <w:t xml:space="preserve"> Female</w:t>
            </w:r>
          </w:p>
        </w:tc>
      </w:tr>
      <w:tr w:rsidR="008B39A8" w:rsidTr="000277D6">
        <w:tc>
          <w:tcPr>
            <w:tcW w:w="3227" w:type="dxa"/>
          </w:tcPr>
          <w:p w:rsidR="008B39A8" w:rsidRDefault="008B39A8" w:rsidP="001A49D6">
            <w:r>
              <w:t>Age</w:t>
            </w:r>
          </w:p>
        </w:tc>
        <w:tc>
          <w:tcPr>
            <w:tcW w:w="1559" w:type="dxa"/>
          </w:tcPr>
          <w:p w:rsidR="008B39A8" w:rsidRDefault="008B39A8" w:rsidP="001A49D6">
            <w:r>
              <w:t>8</w:t>
            </w:r>
          </w:p>
        </w:tc>
        <w:tc>
          <w:tcPr>
            <w:tcW w:w="4456" w:type="dxa"/>
          </w:tcPr>
          <w:p w:rsidR="008B39A8" w:rsidRDefault="008B39A8" w:rsidP="001A49D6">
            <w:r>
              <w:t>1. 0 to 15</w:t>
            </w:r>
          </w:p>
          <w:p w:rsidR="008B39A8" w:rsidRDefault="008B39A8" w:rsidP="001A49D6">
            <w:r>
              <w:t>2. 16 to 24</w:t>
            </w:r>
          </w:p>
          <w:p w:rsidR="008B39A8" w:rsidRDefault="008B39A8" w:rsidP="001A49D6">
            <w:r>
              <w:t>3. 25 to 34</w:t>
            </w:r>
          </w:p>
          <w:p w:rsidR="008B39A8" w:rsidRDefault="008B39A8" w:rsidP="001A49D6">
            <w:r>
              <w:t>4. 35 to 44</w:t>
            </w:r>
          </w:p>
          <w:p w:rsidR="008B39A8" w:rsidRDefault="008B39A8" w:rsidP="001A49D6">
            <w:r>
              <w:t>5. 45 to 54</w:t>
            </w:r>
          </w:p>
          <w:p w:rsidR="008B39A8" w:rsidRDefault="008B39A8" w:rsidP="001A49D6">
            <w:r>
              <w:t>6. 55 to 64</w:t>
            </w:r>
          </w:p>
          <w:p w:rsidR="008B39A8" w:rsidRDefault="008B39A8" w:rsidP="001A49D6">
            <w:r>
              <w:t>7. 65 to 74</w:t>
            </w:r>
          </w:p>
          <w:p w:rsidR="008B39A8" w:rsidRDefault="008B39A8" w:rsidP="001A49D6">
            <w:r>
              <w:t>8. 75 and over</w:t>
            </w:r>
          </w:p>
        </w:tc>
      </w:tr>
      <w:tr w:rsidR="008B39A8" w:rsidTr="000277D6">
        <w:tc>
          <w:tcPr>
            <w:tcW w:w="3227" w:type="dxa"/>
          </w:tcPr>
          <w:p w:rsidR="008B39A8" w:rsidRDefault="00641171" w:rsidP="001A49D6">
            <w:proofErr w:type="spellStart"/>
            <w:r>
              <w:t>Marital_Status</w:t>
            </w:r>
            <w:proofErr w:type="spellEnd"/>
          </w:p>
        </w:tc>
        <w:tc>
          <w:tcPr>
            <w:tcW w:w="1559" w:type="dxa"/>
          </w:tcPr>
          <w:p w:rsidR="008B39A8" w:rsidRDefault="00641171" w:rsidP="001A49D6">
            <w:r>
              <w:t>5</w:t>
            </w:r>
          </w:p>
        </w:tc>
        <w:tc>
          <w:tcPr>
            <w:tcW w:w="4456" w:type="dxa"/>
          </w:tcPr>
          <w:p w:rsidR="008B39A8" w:rsidRDefault="00641171" w:rsidP="001A49D6">
            <w:r>
              <w:t>1. Single (Never married or never registered a same-sex civil partnership</w:t>
            </w:r>
          </w:p>
          <w:p w:rsidR="00641171" w:rsidRDefault="00641171" w:rsidP="001A49D6">
            <w:r>
              <w:t>2. Married or in a same sex-civil partnership</w:t>
            </w:r>
          </w:p>
          <w:p w:rsidR="00641171" w:rsidRDefault="00641171" w:rsidP="001A49D6">
            <w:r>
              <w:t>3. Separated, but still legally married or still legally in a same-sex civil partnership</w:t>
            </w:r>
          </w:p>
          <w:p w:rsidR="00641171" w:rsidRDefault="00641171" w:rsidP="001A49D6">
            <w:r>
              <w:t>4. Divorced or formerly in a same-sex civil partnership which is now legally dissolved</w:t>
            </w:r>
          </w:p>
          <w:p w:rsidR="00641171" w:rsidRDefault="00641171" w:rsidP="001A49D6">
            <w:r>
              <w:t>5. Widowed or surviving partner from a same-sex civil partnership</w:t>
            </w:r>
          </w:p>
        </w:tc>
      </w:tr>
      <w:tr w:rsidR="008B39A8" w:rsidTr="000277D6">
        <w:tc>
          <w:tcPr>
            <w:tcW w:w="3227" w:type="dxa"/>
          </w:tcPr>
          <w:p w:rsidR="008B39A8" w:rsidRDefault="004F3A6C" w:rsidP="001A49D6">
            <w:r>
              <w:t>Student</w:t>
            </w:r>
          </w:p>
          <w:p w:rsidR="004F3A6C" w:rsidRDefault="004F3A6C" w:rsidP="004F3A6C">
            <w:r>
              <w:t>(Schoolchild or full-time student)</w:t>
            </w:r>
          </w:p>
        </w:tc>
        <w:tc>
          <w:tcPr>
            <w:tcW w:w="1559" w:type="dxa"/>
          </w:tcPr>
          <w:p w:rsidR="008B39A8" w:rsidRDefault="004F3A6C" w:rsidP="001A49D6">
            <w:r>
              <w:t>2</w:t>
            </w:r>
          </w:p>
        </w:tc>
        <w:tc>
          <w:tcPr>
            <w:tcW w:w="4456" w:type="dxa"/>
          </w:tcPr>
          <w:p w:rsidR="008B39A8" w:rsidRDefault="004F3A6C" w:rsidP="001A49D6">
            <w:r>
              <w:t>1</w:t>
            </w:r>
            <w:r w:rsidR="00AF652C">
              <w:t>.</w:t>
            </w:r>
            <w:r>
              <w:t xml:space="preserve"> Yes </w:t>
            </w:r>
          </w:p>
          <w:p w:rsidR="004F3A6C" w:rsidRDefault="004F3A6C" w:rsidP="004F3A6C">
            <w:r>
              <w:t>2</w:t>
            </w:r>
            <w:r w:rsidR="00AF652C">
              <w:t>.</w:t>
            </w:r>
            <w:r>
              <w:t xml:space="preserve"> No</w:t>
            </w:r>
          </w:p>
        </w:tc>
      </w:tr>
      <w:tr w:rsidR="008B39A8" w:rsidTr="000277D6">
        <w:tc>
          <w:tcPr>
            <w:tcW w:w="3227" w:type="dxa"/>
          </w:tcPr>
          <w:p w:rsidR="008B39A8" w:rsidRDefault="004F3A6C" w:rsidP="001A49D6">
            <w:proofErr w:type="spellStart"/>
            <w:r>
              <w:t>Country_Of_Birth</w:t>
            </w:r>
            <w:proofErr w:type="spellEnd"/>
          </w:p>
        </w:tc>
        <w:tc>
          <w:tcPr>
            <w:tcW w:w="1559" w:type="dxa"/>
          </w:tcPr>
          <w:p w:rsidR="008B39A8" w:rsidRDefault="004F3A6C" w:rsidP="001A49D6">
            <w:r>
              <w:t>2</w:t>
            </w:r>
          </w:p>
        </w:tc>
        <w:tc>
          <w:tcPr>
            <w:tcW w:w="4456" w:type="dxa"/>
          </w:tcPr>
          <w:p w:rsidR="008B39A8" w:rsidRDefault="004F3A6C" w:rsidP="001A49D6">
            <w:r>
              <w:t>1</w:t>
            </w:r>
            <w:r w:rsidR="00AF652C">
              <w:t>.</w:t>
            </w:r>
            <w:r>
              <w:t xml:space="preserve"> UK</w:t>
            </w:r>
          </w:p>
          <w:p w:rsidR="004F3A6C" w:rsidRDefault="004F3A6C" w:rsidP="001A49D6">
            <w:r>
              <w:t>2</w:t>
            </w:r>
            <w:r w:rsidR="00AF652C">
              <w:t>.</w:t>
            </w:r>
            <w:r>
              <w:t xml:space="preserve"> Non UK</w:t>
            </w:r>
          </w:p>
        </w:tc>
      </w:tr>
      <w:tr w:rsidR="008B39A8" w:rsidTr="000277D6">
        <w:tc>
          <w:tcPr>
            <w:tcW w:w="3227" w:type="dxa"/>
          </w:tcPr>
          <w:p w:rsidR="008B39A8" w:rsidRDefault="004F3A6C" w:rsidP="004F3A6C">
            <w:r>
              <w:t>Health (General health)</w:t>
            </w:r>
          </w:p>
        </w:tc>
        <w:tc>
          <w:tcPr>
            <w:tcW w:w="1559" w:type="dxa"/>
          </w:tcPr>
          <w:p w:rsidR="008B39A8" w:rsidRDefault="004F3A6C" w:rsidP="001A49D6">
            <w:r>
              <w:t>5</w:t>
            </w:r>
          </w:p>
        </w:tc>
        <w:tc>
          <w:tcPr>
            <w:tcW w:w="4456" w:type="dxa"/>
          </w:tcPr>
          <w:p w:rsidR="008B39A8" w:rsidRDefault="004F3A6C" w:rsidP="001A49D6">
            <w:r>
              <w:t>1. Very good health</w:t>
            </w:r>
          </w:p>
          <w:p w:rsidR="004F3A6C" w:rsidRDefault="004F3A6C" w:rsidP="001A49D6">
            <w:r>
              <w:t>2. Good health</w:t>
            </w:r>
          </w:p>
          <w:p w:rsidR="004F3A6C" w:rsidRDefault="004F3A6C" w:rsidP="001A49D6">
            <w:r>
              <w:t>3. Fair health</w:t>
            </w:r>
          </w:p>
          <w:p w:rsidR="004F3A6C" w:rsidRDefault="004F3A6C" w:rsidP="001A49D6">
            <w:r>
              <w:lastRenderedPageBreak/>
              <w:t>4. Bad health</w:t>
            </w:r>
          </w:p>
          <w:p w:rsidR="004F3A6C" w:rsidRDefault="004F3A6C" w:rsidP="001A49D6">
            <w:r>
              <w:t>5. Very bad health</w:t>
            </w:r>
          </w:p>
        </w:tc>
      </w:tr>
      <w:tr w:rsidR="008B39A8" w:rsidTr="000277D6">
        <w:tc>
          <w:tcPr>
            <w:tcW w:w="3227" w:type="dxa"/>
          </w:tcPr>
          <w:p w:rsidR="008B39A8" w:rsidRDefault="004F3A6C" w:rsidP="001A49D6">
            <w:proofErr w:type="spellStart"/>
            <w:r>
              <w:lastRenderedPageBreak/>
              <w:t>Ethnic_Group</w:t>
            </w:r>
            <w:proofErr w:type="spellEnd"/>
          </w:p>
        </w:tc>
        <w:tc>
          <w:tcPr>
            <w:tcW w:w="1559" w:type="dxa"/>
          </w:tcPr>
          <w:p w:rsidR="008B39A8" w:rsidRDefault="004F3A6C" w:rsidP="001A49D6">
            <w:r>
              <w:t>5</w:t>
            </w:r>
          </w:p>
        </w:tc>
        <w:tc>
          <w:tcPr>
            <w:tcW w:w="4456" w:type="dxa"/>
          </w:tcPr>
          <w:p w:rsidR="008B39A8" w:rsidRDefault="004F3A6C" w:rsidP="001A49D6">
            <w:r>
              <w:t>1. White</w:t>
            </w:r>
          </w:p>
          <w:p w:rsidR="004F3A6C" w:rsidRDefault="004F3A6C" w:rsidP="001A49D6">
            <w:r>
              <w:t>2. Mixed or multiple ethnic group</w:t>
            </w:r>
          </w:p>
          <w:p w:rsidR="004F3A6C" w:rsidRDefault="004F3A6C" w:rsidP="001A49D6">
            <w:r>
              <w:t>3. Asian</w:t>
            </w:r>
          </w:p>
          <w:p w:rsidR="004F3A6C" w:rsidRDefault="004F3A6C" w:rsidP="001A49D6">
            <w:r>
              <w:t>4. African</w:t>
            </w:r>
          </w:p>
          <w:p w:rsidR="004F3A6C" w:rsidRDefault="004F3A6C" w:rsidP="001A49D6">
            <w:r>
              <w:t>5. Caribbean or black</w:t>
            </w:r>
          </w:p>
          <w:p w:rsidR="004F3A6C" w:rsidRDefault="004F3A6C" w:rsidP="001A49D6">
            <w:r>
              <w:t>6. Other ethnic group</w:t>
            </w:r>
          </w:p>
        </w:tc>
      </w:tr>
      <w:tr w:rsidR="008B39A8" w:rsidTr="000277D6">
        <w:tc>
          <w:tcPr>
            <w:tcW w:w="3227" w:type="dxa"/>
          </w:tcPr>
          <w:p w:rsidR="008B39A8" w:rsidRDefault="004F3A6C" w:rsidP="001A49D6">
            <w:r>
              <w:t>Religion</w:t>
            </w:r>
          </w:p>
        </w:tc>
        <w:tc>
          <w:tcPr>
            <w:tcW w:w="1559" w:type="dxa"/>
          </w:tcPr>
          <w:p w:rsidR="008B39A8" w:rsidRDefault="004F3A6C" w:rsidP="001A49D6">
            <w:r>
              <w:t>9</w:t>
            </w:r>
          </w:p>
        </w:tc>
        <w:tc>
          <w:tcPr>
            <w:tcW w:w="4456" w:type="dxa"/>
          </w:tcPr>
          <w:p w:rsidR="008B39A8" w:rsidRDefault="004F3A6C" w:rsidP="001A49D6">
            <w:r>
              <w:t>1. No religion</w:t>
            </w:r>
          </w:p>
          <w:p w:rsidR="004F3A6C" w:rsidRDefault="004F3A6C" w:rsidP="001A49D6">
            <w:r>
              <w:t>2. Christian</w:t>
            </w:r>
          </w:p>
          <w:p w:rsidR="004F3A6C" w:rsidRDefault="004F3A6C" w:rsidP="001A49D6">
            <w:r>
              <w:t>3. Buddhist</w:t>
            </w:r>
          </w:p>
          <w:p w:rsidR="004F3A6C" w:rsidRDefault="004F3A6C" w:rsidP="001A49D6">
            <w:r>
              <w:t>4. Hindu</w:t>
            </w:r>
          </w:p>
          <w:p w:rsidR="004F3A6C" w:rsidRDefault="004F3A6C" w:rsidP="001A49D6">
            <w:r>
              <w:t>5. Jewish</w:t>
            </w:r>
          </w:p>
          <w:p w:rsidR="004F3A6C" w:rsidRDefault="004F3A6C" w:rsidP="001A49D6">
            <w:r>
              <w:t>6. Muslim</w:t>
            </w:r>
          </w:p>
          <w:p w:rsidR="004F3A6C" w:rsidRDefault="004F3A6C" w:rsidP="001A49D6">
            <w:r>
              <w:t>7. Sikh</w:t>
            </w:r>
          </w:p>
          <w:p w:rsidR="004F3A6C" w:rsidRDefault="004F3A6C" w:rsidP="001A49D6">
            <w:r>
              <w:t>8. Other religion</w:t>
            </w:r>
          </w:p>
          <w:p w:rsidR="004F3A6C" w:rsidRDefault="004F3A6C" w:rsidP="001A49D6">
            <w:r>
              <w:t>9. Not stated</w:t>
            </w:r>
          </w:p>
        </w:tc>
      </w:tr>
      <w:tr w:rsidR="008B39A8" w:rsidTr="000277D6">
        <w:tc>
          <w:tcPr>
            <w:tcW w:w="3227" w:type="dxa"/>
          </w:tcPr>
          <w:p w:rsidR="008B39A8" w:rsidRDefault="00D043CD" w:rsidP="001A49D6">
            <w:proofErr w:type="spellStart"/>
            <w:r>
              <w:t>Economic_Activity</w:t>
            </w:r>
            <w:proofErr w:type="spellEnd"/>
          </w:p>
        </w:tc>
        <w:tc>
          <w:tcPr>
            <w:tcW w:w="1559" w:type="dxa"/>
          </w:tcPr>
          <w:p w:rsidR="008B39A8" w:rsidRDefault="00E67764" w:rsidP="001A49D6">
            <w:r>
              <w:t>9</w:t>
            </w:r>
          </w:p>
          <w:p w:rsidR="00E67764" w:rsidRDefault="00E67764" w:rsidP="001A49D6">
            <w:r>
              <w:t>(also X)</w:t>
            </w:r>
          </w:p>
        </w:tc>
        <w:tc>
          <w:tcPr>
            <w:tcW w:w="4456" w:type="dxa"/>
          </w:tcPr>
          <w:p w:rsidR="008B39A8" w:rsidRDefault="00D043CD" w:rsidP="001A49D6">
            <w:r>
              <w:t>1. Economically active: Employed</w:t>
            </w:r>
          </w:p>
          <w:p w:rsidR="00D043CD" w:rsidRDefault="00D043CD" w:rsidP="001A49D6">
            <w:r>
              <w:t>2. Economically active: Self-Employed</w:t>
            </w:r>
          </w:p>
          <w:p w:rsidR="00D043CD" w:rsidRDefault="00D043CD" w:rsidP="001A49D6">
            <w:r>
              <w:t>3. Economically active: Unemployed</w:t>
            </w:r>
          </w:p>
          <w:p w:rsidR="00D043CD" w:rsidRDefault="00D043CD" w:rsidP="001A49D6">
            <w:r>
              <w:t>4. Economically active: Full-time student</w:t>
            </w:r>
          </w:p>
          <w:p w:rsidR="00D043CD" w:rsidRDefault="00D043CD" w:rsidP="001A49D6">
            <w:r>
              <w:t>5. Economically inactive: Retired</w:t>
            </w:r>
          </w:p>
          <w:p w:rsidR="00D043CD" w:rsidRDefault="00D043CD" w:rsidP="001A49D6">
            <w:r>
              <w:t>6. Economically inactive: Student</w:t>
            </w:r>
          </w:p>
          <w:p w:rsidR="00D043CD" w:rsidRDefault="00D043CD" w:rsidP="001A49D6">
            <w:r>
              <w:t>7. Economically inactive: Looking after home or family</w:t>
            </w:r>
          </w:p>
          <w:p w:rsidR="00D043CD" w:rsidRDefault="00D043CD" w:rsidP="001A49D6">
            <w:r>
              <w:t>8. Economically inactive: Long-term sick or disabled</w:t>
            </w:r>
          </w:p>
          <w:p w:rsidR="00D043CD" w:rsidRDefault="00D043CD" w:rsidP="001A49D6">
            <w:r>
              <w:t>9. Economically inactive: Other</w:t>
            </w:r>
          </w:p>
          <w:p w:rsidR="00D043CD" w:rsidRDefault="00D043CD" w:rsidP="001A49D6">
            <w:r>
              <w:t>X</w:t>
            </w:r>
            <w:r w:rsidR="00E67764">
              <w:t>. No code required (Aged under 16)</w:t>
            </w:r>
          </w:p>
        </w:tc>
      </w:tr>
      <w:tr w:rsidR="008B39A8" w:rsidTr="000277D6">
        <w:tc>
          <w:tcPr>
            <w:tcW w:w="3227" w:type="dxa"/>
          </w:tcPr>
          <w:p w:rsidR="008B39A8" w:rsidRDefault="00E67764" w:rsidP="001A49D6">
            <w:r>
              <w:t>Occupation</w:t>
            </w:r>
          </w:p>
        </w:tc>
        <w:tc>
          <w:tcPr>
            <w:tcW w:w="1559" w:type="dxa"/>
          </w:tcPr>
          <w:p w:rsidR="008B39A8" w:rsidRDefault="00E67764" w:rsidP="001A49D6">
            <w:r>
              <w:t>9</w:t>
            </w:r>
          </w:p>
          <w:p w:rsidR="00E67764" w:rsidRDefault="00E67764" w:rsidP="001A49D6">
            <w:r>
              <w:t>(also X)</w:t>
            </w:r>
          </w:p>
        </w:tc>
        <w:tc>
          <w:tcPr>
            <w:tcW w:w="4456" w:type="dxa"/>
          </w:tcPr>
          <w:p w:rsidR="008B39A8" w:rsidRDefault="00E67764" w:rsidP="001A49D6">
            <w:r>
              <w:t>1. Managers, Directors and Senior Officials</w:t>
            </w:r>
          </w:p>
          <w:p w:rsidR="00E67764" w:rsidRDefault="00E67764" w:rsidP="001A49D6">
            <w:r>
              <w:t>2. Professional Occupations</w:t>
            </w:r>
          </w:p>
          <w:p w:rsidR="00E67764" w:rsidRDefault="00E67764" w:rsidP="001A49D6">
            <w:r>
              <w:t>3. Associate Professional and Technical Occupations</w:t>
            </w:r>
          </w:p>
          <w:p w:rsidR="00E67764" w:rsidRDefault="00E67764" w:rsidP="001A49D6">
            <w:r>
              <w:t>4. Administrative and Secretarial Occupations</w:t>
            </w:r>
          </w:p>
          <w:p w:rsidR="00E67764" w:rsidRDefault="00E67764" w:rsidP="001A49D6">
            <w:r>
              <w:t>5. Skilled Trades Occupations</w:t>
            </w:r>
          </w:p>
          <w:p w:rsidR="00E67764" w:rsidRDefault="00E67764" w:rsidP="001A49D6">
            <w:r>
              <w:t>6. Caring, Leisure and Other Service Occupations</w:t>
            </w:r>
          </w:p>
          <w:p w:rsidR="00E67764" w:rsidRDefault="00E67764" w:rsidP="001A49D6">
            <w:r>
              <w:t>7. Sales and Customer Service Occupations</w:t>
            </w:r>
          </w:p>
          <w:p w:rsidR="00E67764" w:rsidRDefault="00E67764" w:rsidP="001A49D6">
            <w:r>
              <w:t>8. Process, Plant and Machine Operatives</w:t>
            </w:r>
          </w:p>
          <w:p w:rsidR="00E67764" w:rsidRDefault="00E67764" w:rsidP="001A49D6">
            <w:r>
              <w:t>9. Elementary Occupations</w:t>
            </w:r>
          </w:p>
          <w:p w:rsidR="00E67764" w:rsidRDefault="00E67764" w:rsidP="00FC6A35">
            <w:r>
              <w:t>X. No code required (People aged under 16</w:t>
            </w:r>
            <w:r w:rsidR="00FC6A35">
              <w:t xml:space="preserve"> and</w:t>
            </w:r>
            <w:r>
              <w:t xml:space="preserve"> people who have never worked)</w:t>
            </w:r>
          </w:p>
        </w:tc>
      </w:tr>
      <w:tr w:rsidR="008B39A8" w:rsidTr="000277D6">
        <w:tc>
          <w:tcPr>
            <w:tcW w:w="3227" w:type="dxa"/>
          </w:tcPr>
          <w:p w:rsidR="008B39A8" w:rsidRDefault="00E67764" w:rsidP="001A49D6">
            <w:r>
              <w:t>Industry</w:t>
            </w:r>
          </w:p>
        </w:tc>
        <w:tc>
          <w:tcPr>
            <w:tcW w:w="1559" w:type="dxa"/>
          </w:tcPr>
          <w:p w:rsidR="008B39A8" w:rsidRDefault="00FC6A35" w:rsidP="001A49D6">
            <w:r>
              <w:t>13</w:t>
            </w:r>
          </w:p>
          <w:p w:rsidR="00FC6A35" w:rsidRDefault="00FC6A35" w:rsidP="001A49D6">
            <w:r>
              <w:t>(also X)</w:t>
            </w:r>
          </w:p>
        </w:tc>
        <w:tc>
          <w:tcPr>
            <w:tcW w:w="4456" w:type="dxa"/>
          </w:tcPr>
          <w:p w:rsidR="008B39A8" w:rsidRDefault="00E67764" w:rsidP="001A49D6">
            <w:r>
              <w:t>1. Agriculture</w:t>
            </w:r>
            <w:r w:rsidR="00863ECE">
              <w:t>, forestry and fishing</w:t>
            </w:r>
          </w:p>
          <w:p w:rsidR="00863ECE" w:rsidRDefault="00863ECE" w:rsidP="001A49D6">
            <w:r>
              <w:t xml:space="preserve">2. Mining and quarrying; Manufacturing; </w:t>
            </w:r>
            <w:r>
              <w:lastRenderedPageBreak/>
              <w:t>Electricity, gas, steam and air conditioning system; Water supply</w:t>
            </w:r>
          </w:p>
          <w:p w:rsidR="00863ECE" w:rsidRDefault="00863ECE" w:rsidP="001A49D6">
            <w:r>
              <w:t>3. Construction</w:t>
            </w:r>
          </w:p>
          <w:p w:rsidR="00863ECE" w:rsidRDefault="00863ECE" w:rsidP="001A49D6">
            <w:r>
              <w:t>4. Wholesale and retail trade; Repair of motor vehicles and motorcycles</w:t>
            </w:r>
          </w:p>
          <w:p w:rsidR="00863ECE" w:rsidRDefault="00863ECE" w:rsidP="001A49D6">
            <w:r>
              <w:t>5. Accommodation and food service activities</w:t>
            </w:r>
          </w:p>
          <w:p w:rsidR="00863ECE" w:rsidRDefault="00863ECE" w:rsidP="001A49D6">
            <w:r>
              <w:t>6. Transport and storage; Information and communication</w:t>
            </w:r>
          </w:p>
          <w:p w:rsidR="00863ECE" w:rsidRDefault="00863ECE" w:rsidP="001A49D6">
            <w:r>
              <w:t>7. Financial and insurance activities</w:t>
            </w:r>
          </w:p>
          <w:p w:rsidR="00863ECE" w:rsidRDefault="00863ECE" w:rsidP="001A49D6">
            <w:r>
              <w:t xml:space="preserve">8. Real </w:t>
            </w:r>
            <w:r w:rsidR="00FC6A35">
              <w:t>estate activities; Professional scientific and technical activities; Administrative and support service activities</w:t>
            </w:r>
          </w:p>
          <w:p w:rsidR="00FC6A35" w:rsidRDefault="00FC6A35" w:rsidP="001A49D6">
            <w:r>
              <w:t>9. Public administration and defence</w:t>
            </w:r>
          </w:p>
          <w:p w:rsidR="00FC6A35" w:rsidRDefault="00FC6A35" w:rsidP="001A49D6">
            <w:r>
              <w:t>10. Education</w:t>
            </w:r>
          </w:p>
          <w:p w:rsidR="00FC6A35" w:rsidRDefault="00FC6A35" w:rsidP="001A49D6">
            <w:r>
              <w:t>11. Human health and social work activities</w:t>
            </w:r>
          </w:p>
          <w:p w:rsidR="00FC6A35" w:rsidRDefault="00FC6A35" w:rsidP="001A49D6">
            <w:r>
              <w:t>12. Arts; entertainment and recreation</w:t>
            </w:r>
          </w:p>
          <w:p w:rsidR="00FC6A35" w:rsidRDefault="00FC6A35" w:rsidP="001A49D6">
            <w:r>
              <w:t xml:space="preserve">13. Other </w:t>
            </w:r>
          </w:p>
          <w:p w:rsidR="00FC6A35" w:rsidRDefault="00FC6A35" w:rsidP="00FC6A35">
            <w:r>
              <w:t>X. No code required (People aged under 16 and people who have never worked)</w:t>
            </w:r>
          </w:p>
        </w:tc>
      </w:tr>
      <w:tr w:rsidR="008B39A8" w:rsidTr="000277D6">
        <w:tc>
          <w:tcPr>
            <w:tcW w:w="3227" w:type="dxa"/>
          </w:tcPr>
          <w:p w:rsidR="008B39A8" w:rsidRDefault="00D36074" w:rsidP="001A49D6">
            <w:proofErr w:type="spellStart"/>
            <w:r>
              <w:lastRenderedPageBreak/>
              <w:t>Hours_Worked_Per_Week</w:t>
            </w:r>
            <w:proofErr w:type="spellEnd"/>
          </w:p>
        </w:tc>
        <w:tc>
          <w:tcPr>
            <w:tcW w:w="1559" w:type="dxa"/>
          </w:tcPr>
          <w:p w:rsidR="008B39A8" w:rsidRDefault="00D36074" w:rsidP="001A49D6">
            <w:r>
              <w:t>4</w:t>
            </w:r>
          </w:p>
          <w:p w:rsidR="00D36074" w:rsidRDefault="00D36074" w:rsidP="001A49D6">
            <w:r>
              <w:t>(also X)</w:t>
            </w:r>
          </w:p>
        </w:tc>
        <w:tc>
          <w:tcPr>
            <w:tcW w:w="4456" w:type="dxa"/>
          </w:tcPr>
          <w:p w:rsidR="008B39A8" w:rsidRDefault="00D36074" w:rsidP="001A49D6">
            <w:r>
              <w:t>1. Part-time: 15 or less hours worked</w:t>
            </w:r>
          </w:p>
          <w:p w:rsidR="00D36074" w:rsidRDefault="00D36074" w:rsidP="001A49D6">
            <w:r>
              <w:t>2. Part-time: 16 to 30 hours worked</w:t>
            </w:r>
          </w:p>
          <w:p w:rsidR="00D36074" w:rsidRDefault="00D36074" w:rsidP="001A49D6">
            <w:r>
              <w:t>3. Full-time: 31 to 48 hours worked</w:t>
            </w:r>
          </w:p>
          <w:p w:rsidR="00D36074" w:rsidRDefault="00D36074" w:rsidP="001A49D6">
            <w:r>
              <w:t>4. Full-time 49 or more hours worked</w:t>
            </w:r>
          </w:p>
          <w:p w:rsidR="00D36074" w:rsidRDefault="00D36074" w:rsidP="001A49D6">
            <w:r>
              <w:t>X. No code required (People aged under 16 and people not working)</w:t>
            </w:r>
          </w:p>
        </w:tc>
      </w:tr>
      <w:tr w:rsidR="008B39A8" w:rsidTr="000277D6">
        <w:tc>
          <w:tcPr>
            <w:tcW w:w="3227" w:type="dxa"/>
          </w:tcPr>
          <w:p w:rsidR="008B39A8" w:rsidRDefault="00D36074" w:rsidP="001A49D6">
            <w:proofErr w:type="spellStart"/>
            <w:r>
              <w:t>Approximate_Social_Grade</w:t>
            </w:r>
            <w:proofErr w:type="spellEnd"/>
          </w:p>
        </w:tc>
        <w:tc>
          <w:tcPr>
            <w:tcW w:w="1559" w:type="dxa"/>
          </w:tcPr>
          <w:p w:rsidR="008B39A8" w:rsidRDefault="00D36074" w:rsidP="001A49D6">
            <w:r>
              <w:t>4</w:t>
            </w:r>
          </w:p>
          <w:p w:rsidR="00D36074" w:rsidRDefault="00D36074" w:rsidP="001A49D6">
            <w:r>
              <w:t>(also X)</w:t>
            </w:r>
          </w:p>
        </w:tc>
        <w:tc>
          <w:tcPr>
            <w:tcW w:w="4456" w:type="dxa"/>
          </w:tcPr>
          <w:p w:rsidR="008B39A8" w:rsidRDefault="00D36074" w:rsidP="001A49D6">
            <w:r>
              <w:t xml:space="preserve">1. </w:t>
            </w:r>
            <w:proofErr w:type="spellStart"/>
            <w:r>
              <w:t>A</w:t>
            </w:r>
            <w:r w:rsidR="00603629">
              <w:t>,</w:t>
            </w:r>
            <w:r>
              <w:t>B</w:t>
            </w:r>
            <w:proofErr w:type="spellEnd"/>
          </w:p>
          <w:p w:rsidR="00D36074" w:rsidRDefault="00D36074" w:rsidP="001A49D6">
            <w:r>
              <w:t xml:space="preserve">2. </w:t>
            </w:r>
            <w:proofErr w:type="spellStart"/>
            <w:r>
              <w:t>C1</w:t>
            </w:r>
            <w:proofErr w:type="spellEnd"/>
          </w:p>
          <w:p w:rsidR="00D36074" w:rsidRDefault="00D36074" w:rsidP="001A49D6">
            <w:r>
              <w:t>3.</w:t>
            </w:r>
            <w:r w:rsidR="00167F6D">
              <w:t xml:space="preserve"> </w:t>
            </w:r>
            <w:proofErr w:type="spellStart"/>
            <w:r>
              <w:t>C2</w:t>
            </w:r>
            <w:proofErr w:type="spellEnd"/>
          </w:p>
          <w:p w:rsidR="00D36074" w:rsidRDefault="00D36074" w:rsidP="001A49D6">
            <w:r>
              <w:t>4.</w:t>
            </w:r>
            <w:r w:rsidR="00167F6D">
              <w:t xml:space="preserve"> </w:t>
            </w:r>
            <w:proofErr w:type="spellStart"/>
            <w:r>
              <w:t>D</w:t>
            </w:r>
            <w:r w:rsidR="00603629">
              <w:t>,</w:t>
            </w:r>
            <w:r>
              <w:t>E</w:t>
            </w:r>
            <w:proofErr w:type="spellEnd"/>
          </w:p>
          <w:p w:rsidR="00D36074" w:rsidRDefault="00D36074" w:rsidP="001A49D6">
            <w:r>
              <w:t>X. No code required ( People aged under 16 and people resident in communal establishments)</w:t>
            </w:r>
          </w:p>
        </w:tc>
      </w:tr>
    </w:tbl>
    <w:p w:rsidR="001A49D6" w:rsidRPr="001A49D6" w:rsidRDefault="001A49D6" w:rsidP="001A49D6"/>
    <w:sectPr w:rsidR="001A49D6" w:rsidRPr="001A49D6" w:rsidSect="00AB54FF">
      <w:headerReference w:type="default" r:id="rId22"/>
      <w:footerReference w:type="default" r:id="rId23"/>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A64" w:rsidRDefault="004E1A64">
      <w:pPr>
        <w:spacing w:line="240" w:lineRule="auto"/>
      </w:pPr>
      <w:r>
        <w:separator/>
      </w:r>
    </w:p>
  </w:endnote>
  <w:endnote w:type="continuationSeparator" w:id="0">
    <w:p w:rsidR="004E1A64" w:rsidRDefault="004E1A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5848031"/>
      <w:docPartObj>
        <w:docPartGallery w:val="Page Numbers (Bottom of Page)"/>
        <w:docPartUnique/>
      </w:docPartObj>
    </w:sdtPr>
    <w:sdtEndPr>
      <w:rPr>
        <w:noProof/>
      </w:rPr>
    </w:sdtEndPr>
    <w:sdtContent>
      <w:p w:rsidR="004E1A64" w:rsidRDefault="004E1A64">
        <w:pPr>
          <w:pStyle w:val="Footer"/>
          <w:jc w:val="center"/>
        </w:pPr>
        <w:r>
          <w:fldChar w:fldCharType="begin"/>
        </w:r>
        <w:r>
          <w:instrText xml:space="preserve"> PAGE   \* MERGEFORMAT </w:instrText>
        </w:r>
        <w:r>
          <w:fldChar w:fldCharType="separate"/>
        </w:r>
        <w:r w:rsidR="00F105FD">
          <w:rPr>
            <w:noProof/>
          </w:rPr>
          <w:t>2</w:t>
        </w:r>
        <w:r>
          <w:rPr>
            <w:noProof/>
          </w:rPr>
          <w:fldChar w:fldCharType="end"/>
        </w:r>
      </w:p>
    </w:sdtContent>
  </w:sdt>
  <w:p w:rsidR="004E1A64" w:rsidRPr="0067486A" w:rsidRDefault="004E1A64"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A64" w:rsidRDefault="004E1A64">
      <w:pPr>
        <w:spacing w:line="240" w:lineRule="auto"/>
      </w:pPr>
      <w:r>
        <w:separator/>
      </w:r>
    </w:p>
  </w:footnote>
  <w:footnote w:type="continuationSeparator" w:id="0">
    <w:p w:rsidR="004E1A64" w:rsidRDefault="004E1A64">
      <w:pPr>
        <w:spacing w:line="240" w:lineRule="auto"/>
      </w:pPr>
      <w:r>
        <w:continuationSeparator/>
      </w:r>
    </w:p>
  </w:footnote>
  <w:footnote w:id="1">
    <w:p w:rsidR="004E1A64" w:rsidRDefault="004E1A64">
      <w:pPr>
        <w:pStyle w:val="FootnoteText"/>
      </w:pPr>
      <w:r>
        <w:rPr>
          <w:rStyle w:val="FootnoteReference"/>
        </w:rPr>
        <w:footnoteRef/>
      </w:r>
      <w:r>
        <w:t xml:space="preserve"> Sometimes referred to as “Sample of Anonymised Records”, or “SARs”.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A64" w:rsidRPr="0067486A" w:rsidRDefault="004E1A64"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F223E74"/>
    <w:multiLevelType w:val="hybridMultilevel"/>
    <w:tmpl w:val="6B1A5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D91F59"/>
    <w:multiLevelType w:val="hybridMultilevel"/>
    <w:tmpl w:val="B132595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4">
    <w:nsid w:val="72DC2249"/>
    <w:multiLevelType w:val="hybridMultilevel"/>
    <w:tmpl w:val="27F42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43D"/>
    <w:rsid w:val="000205E3"/>
    <w:rsid w:val="000277D6"/>
    <w:rsid w:val="00045EF3"/>
    <w:rsid w:val="00080EDA"/>
    <w:rsid w:val="0008495B"/>
    <w:rsid w:val="000C2E84"/>
    <w:rsid w:val="00100021"/>
    <w:rsid w:val="00100C53"/>
    <w:rsid w:val="0010493C"/>
    <w:rsid w:val="00107342"/>
    <w:rsid w:val="0011073D"/>
    <w:rsid w:val="0011092A"/>
    <w:rsid w:val="001267F7"/>
    <w:rsid w:val="001471B7"/>
    <w:rsid w:val="00157346"/>
    <w:rsid w:val="00162A60"/>
    <w:rsid w:val="00167F6D"/>
    <w:rsid w:val="00192DC7"/>
    <w:rsid w:val="001A49D6"/>
    <w:rsid w:val="001C5F61"/>
    <w:rsid w:val="001D243D"/>
    <w:rsid w:val="001D26BD"/>
    <w:rsid w:val="00211C71"/>
    <w:rsid w:val="00237E1C"/>
    <w:rsid w:val="00281AEC"/>
    <w:rsid w:val="002C7D62"/>
    <w:rsid w:val="002E0E88"/>
    <w:rsid w:val="002F3688"/>
    <w:rsid w:val="00350BAF"/>
    <w:rsid w:val="003908D7"/>
    <w:rsid w:val="003B2E60"/>
    <w:rsid w:val="003F2479"/>
    <w:rsid w:val="003F2EA4"/>
    <w:rsid w:val="00411FC4"/>
    <w:rsid w:val="00421EC5"/>
    <w:rsid w:val="00451F95"/>
    <w:rsid w:val="00494902"/>
    <w:rsid w:val="004E1A64"/>
    <w:rsid w:val="004E430D"/>
    <w:rsid w:val="004F1329"/>
    <w:rsid w:val="004F3A6C"/>
    <w:rsid w:val="00510DDD"/>
    <w:rsid w:val="005317C9"/>
    <w:rsid w:val="00544F59"/>
    <w:rsid w:val="0055645C"/>
    <w:rsid w:val="00582316"/>
    <w:rsid w:val="005850AC"/>
    <w:rsid w:val="005A1D93"/>
    <w:rsid w:val="00603629"/>
    <w:rsid w:val="00641171"/>
    <w:rsid w:val="0067486A"/>
    <w:rsid w:val="00690CA6"/>
    <w:rsid w:val="006D26F7"/>
    <w:rsid w:val="006D6E43"/>
    <w:rsid w:val="006D7F0C"/>
    <w:rsid w:val="007111AB"/>
    <w:rsid w:val="007233CF"/>
    <w:rsid w:val="007238D2"/>
    <w:rsid w:val="00780BE4"/>
    <w:rsid w:val="00780D6F"/>
    <w:rsid w:val="00792A9F"/>
    <w:rsid w:val="007C6400"/>
    <w:rsid w:val="0085332D"/>
    <w:rsid w:val="00863ECE"/>
    <w:rsid w:val="008721D2"/>
    <w:rsid w:val="008A5FAB"/>
    <w:rsid w:val="008B39A8"/>
    <w:rsid w:val="008B534A"/>
    <w:rsid w:val="00907B08"/>
    <w:rsid w:val="00952710"/>
    <w:rsid w:val="00990286"/>
    <w:rsid w:val="009B2180"/>
    <w:rsid w:val="009F71B8"/>
    <w:rsid w:val="00A31107"/>
    <w:rsid w:val="00A56EBA"/>
    <w:rsid w:val="00A658A3"/>
    <w:rsid w:val="00A90A53"/>
    <w:rsid w:val="00AB3188"/>
    <w:rsid w:val="00AB54FF"/>
    <w:rsid w:val="00AC310B"/>
    <w:rsid w:val="00AD30CC"/>
    <w:rsid w:val="00AD4CBA"/>
    <w:rsid w:val="00AE01CB"/>
    <w:rsid w:val="00AF652C"/>
    <w:rsid w:val="00B93F56"/>
    <w:rsid w:val="00BB5FC3"/>
    <w:rsid w:val="00C625ED"/>
    <w:rsid w:val="00C83F5B"/>
    <w:rsid w:val="00C86FBA"/>
    <w:rsid w:val="00D043CD"/>
    <w:rsid w:val="00D36074"/>
    <w:rsid w:val="00D36080"/>
    <w:rsid w:val="00D4085C"/>
    <w:rsid w:val="00D52E33"/>
    <w:rsid w:val="00DB6D9F"/>
    <w:rsid w:val="00DD7720"/>
    <w:rsid w:val="00E13E3F"/>
    <w:rsid w:val="00E3599D"/>
    <w:rsid w:val="00E36759"/>
    <w:rsid w:val="00E5631B"/>
    <w:rsid w:val="00E67764"/>
    <w:rsid w:val="00E72011"/>
    <w:rsid w:val="00E75030"/>
    <w:rsid w:val="00E877C6"/>
    <w:rsid w:val="00EB5EBB"/>
    <w:rsid w:val="00EE5E33"/>
    <w:rsid w:val="00EF450E"/>
    <w:rsid w:val="00F105FD"/>
    <w:rsid w:val="00F733E6"/>
    <w:rsid w:val="00F80E79"/>
    <w:rsid w:val="00FA1C12"/>
    <w:rsid w:val="00FB6443"/>
    <w:rsid w:val="00FC6A35"/>
    <w:rsid w:val="00FD0B10"/>
    <w:rsid w:val="00FE1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character" w:styleId="Hyperlink">
    <w:name w:val="Hyperlink"/>
    <w:basedOn w:val="DefaultParagraphFont"/>
    <w:uiPriority w:val="99"/>
    <w:unhideWhenUsed/>
    <w:rsid w:val="008721D2"/>
    <w:rPr>
      <w:color w:val="0000FF" w:themeColor="hyperlink"/>
      <w:u w:val="single"/>
    </w:rPr>
  </w:style>
  <w:style w:type="character" w:styleId="FollowedHyperlink">
    <w:name w:val="FollowedHyperlink"/>
    <w:basedOn w:val="DefaultParagraphFont"/>
    <w:uiPriority w:val="99"/>
    <w:semiHidden/>
    <w:unhideWhenUsed/>
    <w:rsid w:val="008721D2"/>
    <w:rPr>
      <w:color w:val="800080" w:themeColor="followedHyperlink"/>
      <w:u w:val="single"/>
    </w:rPr>
  </w:style>
  <w:style w:type="paragraph" w:styleId="ListParagraph">
    <w:name w:val="List Paragraph"/>
    <w:basedOn w:val="Normal"/>
    <w:uiPriority w:val="34"/>
    <w:qFormat/>
    <w:rsid w:val="00E75030"/>
    <w:pPr>
      <w:ind w:left="720"/>
      <w:contextualSpacing/>
    </w:pPr>
  </w:style>
  <w:style w:type="paragraph" w:styleId="BalloonText">
    <w:name w:val="Balloon Text"/>
    <w:basedOn w:val="Normal"/>
    <w:link w:val="BalloonTextChar"/>
    <w:uiPriority w:val="99"/>
    <w:semiHidden/>
    <w:unhideWhenUsed/>
    <w:rsid w:val="009902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86"/>
    <w:rPr>
      <w:rFonts w:ascii="Tahoma" w:hAnsi="Tahoma" w:cs="Tahoma"/>
      <w:sz w:val="16"/>
      <w:szCs w:val="16"/>
      <w:lang w:eastAsia="en-US"/>
    </w:rPr>
  </w:style>
  <w:style w:type="paragraph" w:styleId="TOCHeading">
    <w:name w:val="TOC Heading"/>
    <w:basedOn w:val="Heading1"/>
    <w:next w:val="Normal"/>
    <w:uiPriority w:val="39"/>
    <w:semiHidden/>
    <w:unhideWhenUsed/>
    <w:qFormat/>
    <w:rsid w:val="00EB5EBB"/>
    <w:pPr>
      <w:keepNext/>
      <w:keepLines/>
      <w:numPr>
        <w:numId w:val="0"/>
      </w:numPr>
      <w:tabs>
        <w:tab w:val="clear" w:pos="720"/>
        <w:tab w:val="clear" w:pos="1440"/>
        <w:tab w:val="clear" w:pos="2160"/>
        <w:tab w:val="clear" w:pos="2880"/>
        <w:tab w:val="clear" w:pos="4680"/>
        <w:tab w:val="clear" w:pos="5400"/>
        <w:tab w:val="clear" w:pos="9000"/>
      </w:tabs>
      <w:spacing w:before="480" w:line="276" w:lineRule="auto"/>
      <w:jc w:val="left"/>
      <w:outlineLvl w:val="9"/>
    </w:pPr>
    <w:rPr>
      <w:rFonts w:asciiTheme="majorHAnsi" w:eastAsiaTheme="majorEastAsia" w:hAnsiTheme="majorHAnsi" w:cstheme="majorBidi"/>
      <w:b/>
      <w:bCs/>
      <w:color w:val="365F91" w:themeColor="accent1" w:themeShade="BF"/>
      <w:kern w:val="0"/>
      <w:sz w:val="28"/>
      <w:szCs w:val="28"/>
      <w:lang w:val="en-US" w:eastAsia="ja-JP"/>
    </w:rPr>
  </w:style>
  <w:style w:type="paragraph" w:styleId="TOC1">
    <w:name w:val="toc 1"/>
    <w:basedOn w:val="Normal"/>
    <w:next w:val="Normal"/>
    <w:autoRedefine/>
    <w:uiPriority w:val="39"/>
    <w:unhideWhenUsed/>
    <w:rsid w:val="00EB5EBB"/>
    <w:pPr>
      <w:tabs>
        <w:tab w:val="clear" w:pos="720"/>
        <w:tab w:val="clear" w:pos="1440"/>
        <w:tab w:val="clear" w:pos="2160"/>
        <w:tab w:val="clear" w:pos="2880"/>
        <w:tab w:val="clear" w:pos="4680"/>
        <w:tab w:val="clear" w:pos="5400"/>
        <w:tab w:val="clear" w:pos="9000"/>
      </w:tabs>
      <w:spacing w:after="100"/>
    </w:pPr>
  </w:style>
  <w:style w:type="character" w:customStyle="1" w:styleId="FooterChar">
    <w:name w:val="Footer Char"/>
    <w:basedOn w:val="DefaultParagraphFont"/>
    <w:link w:val="Footer"/>
    <w:uiPriority w:val="99"/>
    <w:rsid w:val="00EE5E33"/>
    <w:rPr>
      <w:lang w:eastAsia="en-US"/>
    </w:rPr>
  </w:style>
  <w:style w:type="table" w:styleId="TableGrid">
    <w:name w:val="Table Grid"/>
    <w:basedOn w:val="TableNormal"/>
    <w:uiPriority w:val="59"/>
    <w:rsid w:val="001A49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F1329"/>
    <w:rPr>
      <w:sz w:val="16"/>
      <w:szCs w:val="16"/>
    </w:rPr>
  </w:style>
  <w:style w:type="paragraph" w:styleId="CommentText">
    <w:name w:val="annotation text"/>
    <w:basedOn w:val="Normal"/>
    <w:link w:val="CommentTextChar"/>
    <w:uiPriority w:val="99"/>
    <w:semiHidden/>
    <w:unhideWhenUsed/>
    <w:rsid w:val="004F1329"/>
    <w:pPr>
      <w:spacing w:line="240" w:lineRule="auto"/>
    </w:pPr>
    <w:rPr>
      <w:sz w:val="20"/>
    </w:rPr>
  </w:style>
  <w:style w:type="character" w:customStyle="1" w:styleId="CommentTextChar">
    <w:name w:val="Comment Text Char"/>
    <w:basedOn w:val="DefaultParagraphFont"/>
    <w:link w:val="CommentText"/>
    <w:uiPriority w:val="99"/>
    <w:semiHidden/>
    <w:rsid w:val="004F1329"/>
    <w:rPr>
      <w:sz w:val="20"/>
      <w:lang w:eastAsia="en-US"/>
    </w:rPr>
  </w:style>
  <w:style w:type="paragraph" w:styleId="CommentSubject">
    <w:name w:val="annotation subject"/>
    <w:basedOn w:val="CommentText"/>
    <w:next w:val="CommentText"/>
    <w:link w:val="CommentSubjectChar"/>
    <w:uiPriority w:val="99"/>
    <w:semiHidden/>
    <w:unhideWhenUsed/>
    <w:rsid w:val="004F1329"/>
    <w:rPr>
      <w:b/>
      <w:bCs/>
    </w:rPr>
  </w:style>
  <w:style w:type="character" w:customStyle="1" w:styleId="CommentSubjectChar">
    <w:name w:val="Comment Subject Char"/>
    <w:basedOn w:val="CommentTextChar"/>
    <w:link w:val="CommentSubject"/>
    <w:uiPriority w:val="99"/>
    <w:semiHidden/>
    <w:rsid w:val="004F1329"/>
    <w:rPr>
      <w:b/>
      <w:bCs/>
      <w:sz w:val="20"/>
      <w:lang w:eastAsia="en-US"/>
    </w:rPr>
  </w:style>
  <w:style w:type="paragraph" w:customStyle="1" w:styleId="Default">
    <w:name w:val="Default"/>
    <w:rsid w:val="005850AC"/>
    <w:pPr>
      <w:autoSpaceDE w:val="0"/>
      <w:autoSpaceDN w:val="0"/>
      <w:adjustRightInd w:val="0"/>
    </w:pPr>
    <w:rPr>
      <w:rFonts w:ascii="Calibri" w:hAnsi="Calibri" w:cs="Calibri"/>
      <w:color w:val="000000"/>
      <w:szCs w:val="24"/>
    </w:rPr>
  </w:style>
  <w:style w:type="paragraph" w:styleId="EndnoteText">
    <w:name w:val="endnote text"/>
    <w:basedOn w:val="Normal"/>
    <w:link w:val="EndnoteTextChar"/>
    <w:uiPriority w:val="99"/>
    <w:semiHidden/>
    <w:unhideWhenUsed/>
    <w:rsid w:val="00E13E3F"/>
    <w:pPr>
      <w:spacing w:line="240" w:lineRule="auto"/>
    </w:pPr>
    <w:rPr>
      <w:sz w:val="20"/>
    </w:rPr>
  </w:style>
  <w:style w:type="character" w:customStyle="1" w:styleId="EndnoteTextChar">
    <w:name w:val="Endnote Text Char"/>
    <w:basedOn w:val="DefaultParagraphFont"/>
    <w:link w:val="EndnoteText"/>
    <w:uiPriority w:val="99"/>
    <w:semiHidden/>
    <w:rsid w:val="00E13E3F"/>
    <w:rPr>
      <w:sz w:val="20"/>
      <w:lang w:eastAsia="en-US"/>
    </w:rPr>
  </w:style>
  <w:style w:type="character" w:styleId="EndnoteReference">
    <w:name w:val="endnote reference"/>
    <w:basedOn w:val="DefaultParagraphFont"/>
    <w:uiPriority w:val="99"/>
    <w:semiHidden/>
    <w:unhideWhenUsed/>
    <w:rsid w:val="00E13E3F"/>
    <w:rPr>
      <w:vertAlign w:val="superscript"/>
    </w:rPr>
  </w:style>
  <w:style w:type="paragraph" w:styleId="FootnoteText">
    <w:name w:val="footnote text"/>
    <w:basedOn w:val="Normal"/>
    <w:link w:val="FootnoteTextChar"/>
    <w:uiPriority w:val="99"/>
    <w:semiHidden/>
    <w:unhideWhenUsed/>
    <w:rsid w:val="00E13E3F"/>
    <w:pPr>
      <w:spacing w:line="240" w:lineRule="auto"/>
    </w:pPr>
    <w:rPr>
      <w:sz w:val="20"/>
    </w:rPr>
  </w:style>
  <w:style w:type="character" w:customStyle="1" w:styleId="FootnoteTextChar">
    <w:name w:val="Footnote Text Char"/>
    <w:basedOn w:val="DefaultParagraphFont"/>
    <w:link w:val="FootnoteText"/>
    <w:uiPriority w:val="99"/>
    <w:semiHidden/>
    <w:rsid w:val="00E13E3F"/>
    <w:rPr>
      <w:sz w:val="20"/>
      <w:lang w:eastAsia="en-US"/>
    </w:rPr>
  </w:style>
  <w:style w:type="character" w:styleId="FootnoteReference">
    <w:name w:val="footnote reference"/>
    <w:basedOn w:val="DefaultParagraphFont"/>
    <w:uiPriority w:val="99"/>
    <w:semiHidden/>
    <w:unhideWhenUsed/>
    <w:rsid w:val="00E13E3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character" w:styleId="Hyperlink">
    <w:name w:val="Hyperlink"/>
    <w:basedOn w:val="DefaultParagraphFont"/>
    <w:uiPriority w:val="99"/>
    <w:unhideWhenUsed/>
    <w:rsid w:val="008721D2"/>
    <w:rPr>
      <w:color w:val="0000FF" w:themeColor="hyperlink"/>
      <w:u w:val="single"/>
    </w:rPr>
  </w:style>
  <w:style w:type="character" w:styleId="FollowedHyperlink">
    <w:name w:val="FollowedHyperlink"/>
    <w:basedOn w:val="DefaultParagraphFont"/>
    <w:uiPriority w:val="99"/>
    <w:semiHidden/>
    <w:unhideWhenUsed/>
    <w:rsid w:val="008721D2"/>
    <w:rPr>
      <w:color w:val="800080" w:themeColor="followedHyperlink"/>
      <w:u w:val="single"/>
    </w:rPr>
  </w:style>
  <w:style w:type="paragraph" w:styleId="ListParagraph">
    <w:name w:val="List Paragraph"/>
    <w:basedOn w:val="Normal"/>
    <w:uiPriority w:val="34"/>
    <w:qFormat/>
    <w:rsid w:val="00E75030"/>
    <w:pPr>
      <w:ind w:left="720"/>
      <w:contextualSpacing/>
    </w:pPr>
  </w:style>
  <w:style w:type="paragraph" w:styleId="BalloonText">
    <w:name w:val="Balloon Text"/>
    <w:basedOn w:val="Normal"/>
    <w:link w:val="BalloonTextChar"/>
    <w:uiPriority w:val="99"/>
    <w:semiHidden/>
    <w:unhideWhenUsed/>
    <w:rsid w:val="009902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86"/>
    <w:rPr>
      <w:rFonts w:ascii="Tahoma" w:hAnsi="Tahoma" w:cs="Tahoma"/>
      <w:sz w:val="16"/>
      <w:szCs w:val="16"/>
      <w:lang w:eastAsia="en-US"/>
    </w:rPr>
  </w:style>
  <w:style w:type="paragraph" w:styleId="TOCHeading">
    <w:name w:val="TOC Heading"/>
    <w:basedOn w:val="Heading1"/>
    <w:next w:val="Normal"/>
    <w:uiPriority w:val="39"/>
    <w:semiHidden/>
    <w:unhideWhenUsed/>
    <w:qFormat/>
    <w:rsid w:val="00EB5EBB"/>
    <w:pPr>
      <w:keepNext/>
      <w:keepLines/>
      <w:numPr>
        <w:numId w:val="0"/>
      </w:numPr>
      <w:tabs>
        <w:tab w:val="clear" w:pos="720"/>
        <w:tab w:val="clear" w:pos="1440"/>
        <w:tab w:val="clear" w:pos="2160"/>
        <w:tab w:val="clear" w:pos="2880"/>
        <w:tab w:val="clear" w:pos="4680"/>
        <w:tab w:val="clear" w:pos="5400"/>
        <w:tab w:val="clear" w:pos="9000"/>
      </w:tabs>
      <w:spacing w:before="480" w:line="276" w:lineRule="auto"/>
      <w:jc w:val="left"/>
      <w:outlineLvl w:val="9"/>
    </w:pPr>
    <w:rPr>
      <w:rFonts w:asciiTheme="majorHAnsi" w:eastAsiaTheme="majorEastAsia" w:hAnsiTheme="majorHAnsi" w:cstheme="majorBidi"/>
      <w:b/>
      <w:bCs/>
      <w:color w:val="365F91" w:themeColor="accent1" w:themeShade="BF"/>
      <w:kern w:val="0"/>
      <w:sz w:val="28"/>
      <w:szCs w:val="28"/>
      <w:lang w:val="en-US" w:eastAsia="ja-JP"/>
    </w:rPr>
  </w:style>
  <w:style w:type="paragraph" w:styleId="TOC1">
    <w:name w:val="toc 1"/>
    <w:basedOn w:val="Normal"/>
    <w:next w:val="Normal"/>
    <w:autoRedefine/>
    <w:uiPriority w:val="39"/>
    <w:unhideWhenUsed/>
    <w:rsid w:val="00EB5EBB"/>
    <w:pPr>
      <w:tabs>
        <w:tab w:val="clear" w:pos="720"/>
        <w:tab w:val="clear" w:pos="1440"/>
        <w:tab w:val="clear" w:pos="2160"/>
        <w:tab w:val="clear" w:pos="2880"/>
        <w:tab w:val="clear" w:pos="4680"/>
        <w:tab w:val="clear" w:pos="5400"/>
        <w:tab w:val="clear" w:pos="9000"/>
      </w:tabs>
      <w:spacing w:after="100"/>
    </w:pPr>
  </w:style>
  <w:style w:type="character" w:customStyle="1" w:styleId="FooterChar">
    <w:name w:val="Footer Char"/>
    <w:basedOn w:val="DefaultParagraphFont"/>
    <w:link w:val="Footer"/>
    <w:uiPriority w:val="99"/>
    <w:rsid w:val="00EE5E33"/>
    <w:rPr>
      <w:lang w:eastAsia="en-US"/>
    </w:rPr>
  </w:style>
  <w:style w:type="table" w:styleId="TableGrid">
    <w:name w:val="Table Grid"/>
    <w:basedOn w:val="TableNormal"/>
    <w:uiPriority w:val="59"/>
    <w:rsid w:val="001A49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F1329"/>
    <w:rPr>
      <w:sz w:val="16"/>
      <w:szCs w:val="16"/>
    </w:rPr>
  </w:style>
  <w:style w:type="paragraph" w:styleId="CommentText">
    <w:name w:val="annotation text"/>
    <w:basedOn w:val="Normal"/>
    <w:link w:val="CommentTextChar"/>
    <w:uiPriority w:val="99"/>
    <w:semiHidden/>
    <w:unhideWhenUsed/>
    <w:rsid w:val="004F1329"/>
    <w:pPr>
      <w:spacing w:line="240" w:lineRule="auto"/>
    </w:pPr>
    <w:rPr>
      <w:sz w:val="20"/>
    </w:rPr>
  </w:style>
  <w:style w:type="character" w:customStyle="1" w:styleId="CommentTextChar">
    <w:name w:val="Comment Text Char"/>
    <w:basedOn w:val="DefaultParagraphFont"/>
    <w:link w:val="CommentText"/>
    <w:uiPriority w:val="99"/>
    <w:semiHidden/>
    <w:rsid w:val="004F1329"/>
    <w:rPr>
      <w:sz w:val="20"/>
      <w:lang w:eastAsia="en-US"/>
    </w:rPr>
  </w:style>
  <w:style w:type="paragraph" w:styleId="CommentSubject">
    <w:name w:val="annotation subject"/>
    <w:basedOn w:val="CommentText"/>
    <w:next w:val="CommentText"/>
    <w:link w:val="CommentSubjectChar"/>
    <w:uiPriority w:val="99"/>
    <w:semiHidden/>
    <w:unhideWhenUsed/>
    <w:rsid w:val="004F1329"/>
    <w:rPr>
      <w:b/>
      <w:bCs/>
    </w:rPr>
  </w:style>
  <w:style w:type="character" w:customStyle="1" w:styleId="CommentSubjectChar">
    <w:name w:val="Comment Subject Char"/>
    <w:basedOn w:val="CommentTextChar"/>
    <w:link w:val="CommentSubject"/>
    <w:uiPriority w:val="99"/>
    <w:semiHidden/>
    <w:rsid w:val="004F1329"/>
    <w:rPr>
      <w:b/>
      <w:bCs/>
      <w:sz w:val="20"/>
      <w:lang w:eastAsia="en-US"/>
    </w:rPr>
  </w:style>
  <w:style w:type="paragraph" w:customStyle="1" w:styleId="Default">
    <w:name w:val="Default"/>
    <w:rsid w:val="005850AC"/>
    <w:pPr>
      <w:autoSpaceDE w:val="0"/>
      <w:autoSpaceDN w:val="0"/>
      <w:adjustRightInd w:val="0"/>
    </w:pPr>
    <w:rPr>
      <w:rFonts w:ascii="Calibri" w:hAnsi="Calibri" w:cs="Calibri"/>
      <w:color w:val="000000"/>
      <w:szCs w:val="24"/>
    </w:rPr>
  </w:style>
  <w:style w:type="paragraph" w:styleId="EndnoteText">
    <w:name w:val="endnote text"/>
    <w:basedOn w:val="Normal"/>
    <w:link w:val="EndnoteTextChar"/>
    <w:uiPriority w:val="99"/>
    <w:semiHidden/>
    <w:unhideWhenUsed/>
    <w:rsid w:val="00E13E3F"/>
    <w:pPr>
      <w:spacing w:line="240" w:lineRule="auto"/>
    </w:pPr>
    <w:rPr>
      <w:sz w:val="20"/>
    </w:rPr>
  </w:style>
  <w:style w:type="character" w:customStyle="1" w:styleId="EndnoteTextChar">
    <w:name w:val="Endnote Text Char"/>
    <w:basedOn w:val="DefaultParagraphFont"/>
    <w:link w:val="EndnoteText"/>
    <w:uiPriority w:val="99"/>
    <w:semiHidden/>
    <w:rsid w:val="00E13E3F"/>
    <w:rPr>
      <w:sz w:val="20"/>
      <w:lang w:eastAsia="en-US"/>
    </w:rPr>
  </w:style>
  <w:style w:type="character" w:styleId="EndnoteReference">
    <w:name w:val="endnote reference"/>
    <w:basedOn w:val="DefaultParagraphFont"/>
    <w:uiPriority w:val="99"/>
    <w:semiHidden/>
    <w:unhideWhenUsed/>
    <w:rsid w:val="00E13E3F"/>
    <w:rPr>
      <w:vertAlign w:val="superscript"/>
    </w:rPr>
  </w:style>
  <w:style w:type="paragraph" w:styleId="FootnoteText">
    <w:name w:val="footnote text"/>
    <w:basedOn w:val="Normal"/>
    <w:link w:val="FootnoteTextChar"/>
    <w:uiPriority w:val="99"/>
    <w:semiHidden/>
    <w:unhideWhenUsed/>
    <w:rsid w:val="00E13E3F"/>
    <w:pPr>
      <w:spacing w:line="240" w:lineRule="auto"/>
    </w:pPr>
    <w:rPr>
      <w:sz w:val="20"/>
    </w:rPr>
  </w:style>
  <w:style w:type="character" w:customStyle="1" w:styleId="FootnoteTextChar">
    <w:name w:val="Footnote Text Char"/>
    <w:basedOn w:val="DefaultParagraphFont"/>
    <w:link w:val="FootnoteText"/>
    <w:uiPriority w:val="99"/>
    <w:semiHidden/>
    <w:rsid w:val="00E13E3F"/>
    <w:rPr>
      <w:sz w:val="20"/>
      <w:lang w:eastAsia="en-US"/>
    </w:rPr>
  </w:style>
  <w:style w:type="character" w:styleId="FootnoteReference">
    <w:name w:val="footnote reference"/>
    <w:basedOn w:val="DefaultParagraphFont"/>
    <w:uiPriority w:val="99"/>
    <w:semiHidden/>
    <w:unhideWhenUsed/>
    <w:rsid w:val="00E13E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ro-scotland.gov.uk/files2/the-census/scotlands-census-2011-specimen-questionnaire.pdf" TargetMode="External"/><Relationship Id="rId18" Type="http://schemas.openxmlformats.org/officeDocument/2006/relationships/hyperlink" Target="http://www.ons.gov.uk/ons/guide-method/census/2011/census-data/census-microdata/microdata-teaching-file/index.html" TargetMode="External"/><Relationship Id="rId3" Type="http://schemas.openxmlformats.org/officeDocument/2006/relationships/styles" Target="styles.xml"/><Relationship Id="rId21" Type="http://schemas.openxmlformats.org/officeDocument/2006/relationships/hyperlink" Target="http://www.nationalarchives.gov.uk/doc/open-government-licence/version/2/" TargetMode="External"/><Relationship Id="rId7" Type="http://schemas.openxmlformats.org/officeDocument/2006/relationships/footnotes" Target="footnotes.xml"/><Relationship Id="rId12" Type="http://schemas.openxmlformats.org/officeDocument/2006/relationships/hyperlink" Target="http://www.scotlandscensus.gov.uk/" TargetMode="External"/><Relationship Id="rId17" Type="http://schemas.openxmlformats.org/officeDocument/2006/relationships/hyperlink" Target="http://www.scotlandscensus.gov.uk/census-resul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cotlandscensus.gov.uk/variables-classification" TargetMode="External"/><Relationship Id="rId20" Type="http://schemas.openxmlformats.org/officeDocument/2006/relationships/hyperlink" Target="http://www.scotlandscensus.gov.uk/ods-web/standard-outpu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ns.gov.uk/ons/guide-method/census/2011/census-data/2011-census-user-guide/quality-and-methods/methods/statistical-disclosure-control-methods/index.html" TargetMode="External"/><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http://www.nisra.gov.uk/Census/2011_results_specialist_products.html"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scotlandscensus.gov.uk/ods-web/standard-outputs.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ACEA8-3B98-42B2-A53D-2EB853F78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8</Pages>
  <Words>1975</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u400034</dc:creator>
  <cp:lastModifiedBy>u400034</cp:lastModifiedBy>
  <cp:revision>35</cp:revision>
  <cp:lastPrinted>2014-06-19T09:20:00Z</cp:lastPrinted>
  <dcterms:created xsi:type="dcterms:W3CDTF">2014-04-07T10:51:00Z</dcterms:created>
  <dcterms:modified xsi:type="dcterms:W3CDTF">2014-06-19T12:25:00Z</dcterms:modified>
</cp:coreProperties>
</file>