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ED18FE07">
      <w:pPr>
        <w:rPr>
          <w:lang w:val="en-US"/>
        </w:rPr>
      </w:pPr>
      <w:r>
        <w:rPr>
          <w:lang w:val="en-US"/>
        </w:rPr>
        <w:t>场外衍生品智能压力测试平台</w:t>
      </w:r>
    </w:p>
    <w:p w14:paraId="63B0F12D"/>
    <w:p w14:paraId="133D8998">
      <w:pPr>
        <w:rPr>
          <w:lang w:val="en-US"/>
        </w:rPr>
      </w:pPr>
      <w:r>
        <w:rPr>
          <w:lang w:val="en-US"/>
        </w:rPr>
        <w:t>平台的主要功能是用户通过自然需要的方式，由AI大模型生成具体的压力测试场景，压力测试的场景中需要对应有相应风险因子以及风险因子变动的压力场景，比如国债收益率上身30个bp、股票指数如沪深300指数下跌10%等等，结合底层的MCP接口的行情数据以及用户的衍生产品持仓数据，最终智能生成压力测试的结果以及压力测试的完整报告。</w:t>
      </w:r>
    </w:p>
    <w:p w14:paraId="03F1A044">
      <w:pPr>
        <w:rPr>
          <w:lang w:val="en-US"/>
        </w:rPr>
      </w:pPr>
      <w:r>
        <w:rPr>
          <w:lang w:val="en-US"/>
        </w:rPr>
        <w:t>平台需要前后端分离，前端是用户与平台的交互、压力场景的生成以及压力测试结果的展示。</w:t>
      </w:r>
    </w:p>
    <w:p w14:paraId="F223D619">
      <w:pPr>
        <w:rPr>
          <w:lang w:val="en-US"/>
        </w:rPr>
      </w:pPr>
      <w:r>
        <w:rPr>
          <w:lang w:val="en-US"/>
        </w:rPr>
        <w:t>后端除了实现平台的各种功能以外，核心之一是针对各类场外衍生产品的估值模型，包括欧式期权定价模型、美式期权定价模型、亚式期权定价模型以及其他各类奇异期权定价模型等，这是整个平台后端最最重要的核心组件之一。</w:t>
      </w:r>
    </w:p>
    <w:p w14:paraId="0543A2CB">
      <w:pPr>
        <w:rPr>
          <w:lang w:val="en-US"/>
        </w:rPr>
      </w:pPr>
      <w:r>
        <w:rPr>
          <w:lang w:val="en-US"/>
        </w:rPr>
        <w:t>平台的AI大模型运用智谱的GLM-4.5-Flash，智谱的key:  325d6fa364954d2e871c30ba95b553bd.KBdQdqgJgELJBhnv。</w:t>
      </w:r>
    </w:p>
    <w:p w14:paraId="8ED407DC">
      <w:pPr>
        <w:rPr>
          <w:lang w:val="en-US"/>
        </w:rPr>
      </w:pPr>
    </w:p>
    <w:p w14:paraId="BF231AF4">
      <w:pPr>
        <w:rPr>
          <w:lang w:val="en-US"/>
        </w:rPr>
      </w:pPr>
      <w:r>
        <w:rPr>
          <w:lang w:val="en-US"/>
        </w:rPr>
        <w:t>期权的品种以及头寸金额用虚拟的数据，期权的标的资产用中证500指数。</w:t>
      </w:r>
    </w:p>
    <w:p w14:paraId="92B810AB">
      <w:pPr>
        <w:rPr>
          <w:lang w:val="en-US"/>
        </w:rPr>
      </w:pPr>
      <w:r>
        <w:rPr>
          <w:lang w:val="en-US"/>
        </w:rPr>
        <w:t>对于期权品种而言压力测试涉及的风险因子主要包括三大类，第一类是标的资产的价格比如期权的基础资产是沪深300指数，那么风险因子之一就是沪深300指数；第2类风险因子是标的资产价格收益率的波动率，比如期权的标的资产是沪深300指数那么该指数收益率的年化波动率就是第2个风险因子。第三类风险子因子就是无风险收益率，通常用国债收益率为代表。</w:t>
      </w:r>
    </w:p>
    <w:p w14:paraId="1F46370F">
      <w:pPr>
        <w:rPr>
          <w:lang w:val="en-US"/>
        </w:rPr>
      </w:pPr>
    </w:p>
    <w:p w14:paraId="48D3C858">
      <w:pPr>
        <w:rPr>
          <w:rFonts w:hint="eastAsia"/>
          <w:lang w:val="en-US" w:eastAsia="zh-CN"/>
        </w:rPr>
      </w:pPr>
      <w:r>
        <w:rPr>
          <w:rFonts w:hint="eastAsia"/>
          <w:lang w:val="en-US" w:eastAsia="zh-CN"/>
        </w:rPr>
        <w:t>调用金融数据，运用Tushare的MCP接口，接口参数如下：</w:t>
      </w:r>
    </w:p>
    <w:p w14:paraId="58CBA340">
      <w:pPr>
        <w:rPr>
          <w:rFonts w:hint="default"/>
          <w:lang w:val="en-US" w:eastAsia="zh-CN"/>
        </w:rPr>
      </w:pPr>
      <w:r>
        <w:rPr>
          <w:rFonts w:ascii="Noto Sans SC" w:hAnsi="Noto Sans SC" w:eastAsia="Noto Sans SC" w:cs="Noto Sans SC"/>
          <w:i w:val="0"/>
          <w:iCs w:val="0"/>
          <w:caps w:val="0"/>
          <w:color w:val="000000"/>
          <w:spacing w:val="0"/>
          <w:sz w:val="21"/>
          <w:szCs w:val="21"/>
        </w:rPr>
        <w:t>{ "mcpServers": { "tushareMcp": { "url": "https://api.tushare.pro/mcp/?token=cd854e5eec6ac50c8ead11982f5333bf61345a847399d62c63c42776" } } }</w:t>
      </w:r>
    </w:p>
    <w:p w14:paraId="E5CD3BEE">
      <w:pPr>
        <w:rPr>
          <w:lang w:val="en-US"/>
        </w:rPr>
      </w:pPr>
    </w:p>
    <w:p w14:paraId="17B0AD4C">
      <w:pPr>
        <w:rPr>
          <w:lang w:val="en-US"/>
        </w:rPr>
      </w:pPr>
      <w:r>
        <w:rPr>
          <w:lang w:val="en-US"/>
        </w:rPr>
        <w:t>数据库是接本地的MySQL数据库，用于存放期权的头寸信息以及风险因子信息。</w:t>
      </w:r>
    </w:p>
    <w:p w14:paraId="0F8641F8">
      <w:pPr>
        <w:rPr>
          <w:lang w:val="en-US"/>
        </w:rPr>
      </w:pPr>
    </w:p>
    <w:p w14:paraId="120438CB">
      <w:pPr>
        <w:rPr>
          <w:rFonts w:hint="default"/>
          <w:lang w:val="en-US" w:eastAsia="zh-CN"/>
        </w:rPr>
      </w:pPr>
      <w:r>
        <w:rPr>
          <w:rFonts w:hint="eastAsia"/>
          <w:lang w:val="en-US" w:eastAsia="zh-CN"/>
        </w:rPr>
        <w:t xml:space="preserve">在平台中，加入历史的压力测试情景，这些情景需要有相应的风险因子极端变动的初始设定，相关情景详见Excel文件，该文件中有多个工作表，每个工作表中的信息都需要。 </w:t>
      </w:r>
      <w:r>
        <w:rPr>
          <w:rFonts w:hint="eastAsia"/>
          <w:u w:val="dotted"/>
          <w:lang w:val="en-US" w:eastAsia="zh-CN"/>
        </w:rPr>
        <w:t xml:space="preserve"> 同时针对每个历史上发生过的场景，都需要给出相关风险因子的变化或波动，该变化和波动可以调用MCP接口获得相应的数据。</w:t>
      </w:r>
      <w:bookmarkStart w:id="0" w:name="_GoBack"/>
      <w:bookmarkEnd w:id="0"/>
    </w:p>
    <w:p w14:paraId="7CEF0EC5">
      <w:pPr>
        <w:rPr>
          <w:rFonts w:hint="default"/>
          <w:lang w:val="en-US" w:eastAsia="zh-CN"/>
        </w:rPr>
      </w:pPr>
    </w:p>
    <w:p w14:paraId="4083EAB3">
      <w:pPr>
        <w:rPr>
          <w:rFonts w:hint="default"/>
          <w:lang w:val="en-US" w:eastAsia="zh-CN"/>
        </w:rPr>
      </w:pPr>
    </w:p>
    <w:p w14:paraId="6F578F92">
      <w:pPr>
        <w:rPr>
          <w:rFonts w:hint="default"/>
          <w:lang w:val="en-US" w:eastAsia="zh-CN"/>
        </w:rPr>
      </w:pPr>
    </w:p>
    <w:p w14:paraId="B732BB9A">
      <w:pPr>
        <w:rPr>
          <w:lang w:val="en-US"/>
        </w:rPr>
      </w:pPr>
    </w:p>
    <w:p w14:paraId="D5C42ABE">
      <w:pPr>
        <w:rPr>
          <w:lang w:val="en-US"/>
        </w:rPr>
      </w:pPr>
    </w:p>
    <w:p w14:paraId="4866ED50">
      <w:pPr>
        <w:rPr>
          <w:lang w:val="en-US"/>
        </w:rPr>
      </w:pPr>
    </w:p>
    <w:p w14:paraId="72EB2315">
      <w:pPr>
        <w:rPr>
          <w:lang w:val="en-US"/>
        </w:rPr>
      </w:pPr>
    </w:p>
    <w:p w14:paraId="7F063DDE">
      <w:pPr>
        <w:rPr>
          <w:lang w:val="en-US"/>
        </w:rPr>
      </w:pPr>
    </w:p>
    <w:p w14:paraId="A64EB18D"/>
    <w:p w14:paraId="486A0BFA"/>
    <w:p w14:paraId="B2580453"/>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9132A00"/>
    <w:rsid w:val="0D641F8A"/>
    <w:rsid w:val="1F374545"/>
    <w:rsid w:val="350A6787"/>
    <w:rsid w:val="35B85233"/>
    <w:rsid w:val="39890C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4">
    <w:name w:val="Default Paragraph Font"/>
    <w:qFormat/>
    <w:uiPriority w:val="0"/>
    <w:rPr>
      <w:rFonts w:ascii="Calibri" w:hAnsi="Calibri" w:eastAsia="宋体" w:cs="Times New Roman"/>
    </w:rPr>
  </w:style>
  <w:style w:type="table" w:default="1" w:styleId="3">
    <w:name w:val="Normal Table"/>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583</Words>
  <Characters>797</Characters>
  <Paragraphs>21</Paragraphs>
  <TotalTime>15</TotalTime>
  <ScaleCrop>false</ScaleCrop>
  <LinksUpToDate>false</LinksUpToDate>
  <CharactersWithSpaces>808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2026-07-02T00:35:00Z</dcterms:created>
  <dc:creator>WLZ-AN00</dc:creator>
  <cp:lastModifiedBy>Mr. Wall Street</cp:lastModifiedBy>
  <dcterms:modified xsi:type="dcterms:W3CDTF">2026-07-02T09:35:07Z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ea97ba7103c2424b9d32b218aca91f86_21</vt:lpwstr>
  </property>
  <property fmtid="{D5CDD505-2E9C-101B-9397-08002B2CF9AE}" pid="3" name="KSOTemplateDocerSaveRecord">
    <vt:lpwstr>eyJoZGlkIjoiYmIzMTgyODRiOWE5YzYwZTg1NmY3NGFjODE2NWU0YTUiLCJ1c2VySWQiOiIzNDQ3MTI3MTcifQ==</vt:lpwstr>
  </property>
  <property fmtid="{D5CDD505-2E9C-101B-9397-08002B2CF9AE}" pid="4" name="KSOProductBuildVer">
    <vt:lpwstr>2052-12.1.0.26895</vt:lpwstr>
  </property>
</Properties>
</file>