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0"/>
          <w:szCs w:val="30"/>
        </w:rPr>
        <w:t xml:space="preserve">DEGREE PROJECT PROPOSAL</w:t>
      </w:r>
    </w:p>
    <w:p>
      <w:pPr>
        <w:spacing w:after="120" w:before="320"/>
      </w:pPr>
      <w:r>
        <w:rPr>
          <w:b/>
          <w:bCs/>
          <w:sz w:val="24"/>
          <w:szCs w:val="24"/>
        </w:rPr>
        <w:t xml:space="preserve">NAME AND E-MAIL ADDRESS OF THE STUDENT:</w:t>
      </w:r>
    </w:p>
    <w:p>
      <w:pPr>
        <w:spacing w:after="200" w:line="300"/>
      </w:pPr>
      <w:r>
        <w:rPr>
          <w:i/>
          <w:iCs/>
          <w:color w:val="666666"/>
          <w:sz w:val="22"/>
          <w:szCs w:val="22"/>
        </w:rPr>
        <w:t xml:space="preserve">[Your Name] — [your.email@kth.se]</w:t>
      </w:r>
    </w:p>
    <w:p>
      <w:pPr>
        <w:spacing w:after="120" w:before="320"/>
      </w:pPr>
      <w:r>
        <w:rPr>
          <w:b/>
          <w:bCs/>
          <w:sz w:val="24"/>
          <w:szCs w:val="24"/>
        </w:rPr>
        <w:t xml:space="preserve">THESIS TITLE:</w:t>
      </w:r>
    </w:p>
    <w:p>
      <w:pPr>
        <w:spacing w:after="200" w:line="300"/>
        <w:jc w:val="both"/>
      </w:pPr>
      <w:r>
        <w:rPr>
          <w:sz w:val="22"/>
          <w:szCs w:val="22"/>
        </w:rPr>
        <w:t xml:space="preserve">An Agentic Framework for Reconstructing and Automatically Repairing Continuous Integration Build Failures in Open-Source Embedded Software</w:t>
      </w:r>
    </w:p>
    <w:p>
      <w:pPr>
        <w:spacing w:after="200" w:line="300"/>
      </w:pPr>
      <w:r>
        <w:rPr>
          <w:i/>
          <w:iCs/>
          <w:color w:val="666666"/>
          <w:sz w:val="22"/>
          <w:szCs w:val="22"/>
        </w:rPr>
        <w:t xml:space="preserve">(Working title — subject to refinement with supervisor/examiner.)</w:t>
      </w:r>
    </w:p>
    <w:p>
      <w:pPr>
        <w:spacing w:after="120" w:before="320"/>
      </w:pPr>
      <w:r>
        <w:rPr>
          <w:b/>
          <w:bCs/>
          <w:sz w:val="24"/>
          <w:szCs w:val="24"/>
        </w:rPr>
        <w:t xml:space="preserve">BACKGROUND:</w:t>
      </w:r>
    </w:p>
    <w:p>
      <w:pPr>
        <w:spacing w:after="200" w:line="300"/>
        <w:jc w:val="both"/>
      </w:pPr>
      <w:r>
        <w:rPr>
          <w:sz w:val="22"/>
          <w:szCs w:val="22"/>
        </w:rPr>
        <w:t xml:space="preserve">This project sits within software engineering research on Continuous Integration (CI) reliability and automated program repair for embedded systems. Embedded software development involves tight hardware–software co-development, which makes CI pipelines considerably more fragile than those of general-purpose software: prior studies report that 7–11% of CI runs in open-source embedded projects fail at the build (compilation) stage, and that roughly 70% of these failures are caused by hardware or toolchain dependencies rather than ordinary programming mistakes.</w:t>
      </w:r>
    </w:p>
    <w:p>
      <w:pPr>
        <w:spacing w:after="200" w:line="300"/>
        <w:jc w:val="both"/>
      </w:pPr>
      <w:r>
        <w:rPr>
          <w:sz w:val="22"/>
          <w:szCs w:val="22"/>
        </w:rPr>
        <w:t xml:space="preserve">The project builds directly on two recent studies by Fu et al. (KTH / Ericsson AB): “Where did we fail? — Reproducing build failures in embedded open source software” (EASE 2026), which shows that 91.8% of historical CI build failures across four major embedded projects (RTEMS, Zephyr, OpenIPC, STM32) can be faithfully reconstructed outside their native CI environments, and “PhantomRun: Auto Repair of Compilation Errors in Embedded Open Source Software” (MSR 2026), which shows that a single-shot, fixed-prompt LLM loop repairs up to 45% of these reconstructed failures, with markedly lower success on hardware-dependency errors specifically. This project is of interest to researchers studying automated CI repair, to open-source embedded communities that carry a large recurring maintenance burden from build breakages, and — given the Ericsson AB co-authorship of the two source papers — potentially to industrial hardware-in-the-loop CI teams facing the same class of failures internally.</w:t>
      </w:r>
    </w:p>
    <w:p>
      <w:pPr>
        <w:spacing w:after="200" w:line="300"/>
        <w:jc w:val="both"/>
      </w:pPr>
      <w:r>
        <w:rPr>
          <w:sz w:val="22"/>
          <w:szCs w:val="22"/>
        </w:rPr>
        <w:t xml:space="preserve">The prior work treats reconstruction and repair as two systems connected by a fixed hand-off, and treats repair itself as a single prompt-response-rebuild cycle. This project investigates whether restructuring repair as an agentic, tool-using process — one that can decide to inspect more log context, retrieve a different historical fix, or look up dependency metadata before committing to a patch — narrows the gap on the failure categories that current fixed-prompt approaches handle worst.</w:t>
      </w:r>
    </w:p>
    <w:p>
      <w:pPr>
        <w:spacing w:after="120" w:before="320"/>
      </w:pPr>
      <w:r>
        <w:rPr>
          <w:b/>
          <w:bCs/>
          <w:sz w:val="24"/>
          <w:szCs w:val="24"/>
        </w:rPr>
        <w:t xml:space="preserve">RESEARCH QUESTION:</w:t>
      </w:r>
    </w:p>
    <w:p>
      <w:pPr>
        <w:spacing w:after="200" w:line="300"/>
        <w:jc w:val="both"/>
      </w:pPr>
      <w:r>
        <w:rPr>
          <w:sz w:val="22"/>
          <w:szCs w:val="22"/>
        </w:rPr>
        <w:t xml:space="preserve">Does giving an LLM-based repair agent explicit, on-demand tools (log re-inspection, historical-fix retrieval, dependency-manifest lookup, multi-file navigation) improve the compilation-repair success rate for reconstructed embedded CI failures, relative to the single-shot, fixed-prompt baseline reported in prior work — and if so, on which categories of failure (environment setup, syntax, hardware dependency, non-hardware dependency, compiler configuration) is the improvement concentrated?</w:t>
      </w:r>
    </w:p>
    <w:p>
      <w:pPr>
        <w:spacing w:after="120" w:before="320"/>
      </w:pPr>
      <w:r>
        <w:rPr>
          <w:b/>
          <w:bCs/>
          <w:sz w:val="24"/>
          <w:szCs w:val="24"/>
        </w:rPr>
        <w:t xml:space="preserve">HYPOTHESIS:</w:t>
      </w:r>
    </w:p>
    <w:p>
      <w:pPr>
        <w:spacing w:after="200" w:line="300"/>
        <w:jc w:val="both"/>
      </w:pPr>
      <w:r>
        <w:rPr>
          <w:sz w:val="22"/>
          <w:szCs w:val="22"/>
        </w:rPr>
        <w:t xml:space="preserve">An agentic repair loop will outperform the single-shot baseline overall, with the largest gains on hardware- and non-hardware-dependency errors — the categories where the fixed prompt currently under-performs (28–33% pass rate) — because the information needed to fix these errors (correct board-specific identifiers, up-to-date dependency versions) is often available in the repository or its metadata but is not included in a static, pre-assembled prompt. On categories that are already handled well by the baseline (syntax and environment-setup errors, 52–65% pass rate), the agentic approach is expected to show smaller gains, since the fixed prompt already contains sufficient information for those cases.</w:t>
      </w:r>
    </w:p>
    <w:p>
      <w:pPr>
        <w:spacing w:after="120" w:before="320"/>
      </w:pPr>
      <w:r>
        <w:rPr>
          <w:b/>
          <w:bCs/>
          <w:sz w:val="24"/>
          <w:szCs w:val="24"/>
        </w:rPr>
        <w:t xml:space="preserve">RESEARCH METHOD:</w:t>
      </w:r>
    </w:p>
    <w:p>
      <w:pPr>
        <w:spacing w:after="200" w:line="300"/>
        <w:jc w:val="both"/>
      </w:pPr>
      <w:r>
        <w:rPr>
          <w:sz w:val="22"/>
          <w:szCs w:val="22"/>
        </w:rPr>
        <w:t xml:space="preserve">The method is empirical and comparative. The candidate will (1) re-implement the CI reconstruction and log-parsing/error-classification pipeline described in prior work and validate it against the published reconstruction and classification figures; (2) re-implement the single-shot repair baseline and confirm its pass rate is consistent with the published 45% figure, holding the LLM backend fixed; (3) design and implement an agentic repair loop exposing the reconstruction, log, retrieval, and dependency-lookup functionality as callable tools to the same LLM backend; and (4) evaluate both configurations on a shared, stratified sample of reconstructed failures drawn from at least two of the four original projects.</w:t>
      </w:r>
    </w:p>
    <w:p>
      <w:pPr>
        <w:spacing w:after="200" w:line="300"/>
        <w:jc w:val="both"/>
      </w:pPr>
      <w:r>
        <w:rPr>
          <w:sz w:val="22"/>
          <w:szCs w:val="22"/>
        </w:rPr>
        <w:t xml:space="preserve">Observations will be collected as CI pass/fail outcomes per repair attempt, full agent tool-call trajectories, fix size (lines changed), and per-attempt cost (LLM calls, tokens, wall-clock time). Conclusions will be drawn using the same statistical tests employed in the source papers — Chi-square tests of independence for differences in pass rate across conditions, categories, and projects, and the Friedman test for repeated-measures comparisons of the same projects under different agent configurations — supplemented by a qualitative analysis of a sample of agent trajectories to explain why tool use helps or fails to help on specific failure categories.</w:t>
      </w:r>
    </w:p>
    <w:p>
      <w:pPr>
        <w:spacing w:after="120" w:before="320"/>
      </w:pPr>
      <w:r>
        <w:rPr>
          <w:b/>
          <w:bCs/>
          <w:sz w:val="24"/>
          <w:szCs w:val="24"/>
        </w:rPr>
        <w:t xml:space="preserve">BACKGROUND OF THE STUDENT:</w:t>
      </w:r>
    </w:p>
    <w:p>
      <w:pPr>
        <w:spacing w:after="200" w:line="300"/>
      </w:pPr>
      <w:r>
        <w:rPr>
          <w:i/>
          <w:iCs/>
          <w:color w:val="666666"/>
          <w:sz w:val="22"/>
          <w:szCs w:val="22"/>
        </w:rPr>
        <w:t xml:space="preserve">[Describe relevant coursework and experience — e.g., software engineering, compilers/toolchains, systems programming in C/C++, machine learning or NLP courses, any prior experience with CI/CD, containerization (Docker), or LLM/agent frameworks. List specific KTH course codes if applicable.]</w:t>
      </w:r>
    </w:p>
    <w:p>
      <w:pPr>
        <w:spacing w:after="120" w:before="320"/>
      </w:pPr>
      <w:r>
        <w:rPr>
          <w:b/>
          <w:bCs/>
          <w:sz w:val="24"/>
          <w:szCs w:val="24"/>
        </w:rPr>
        <w:t xml:space="preserve">SUPERVISION AT THE COMPANY/EXTERNAL ORGANIZATION:</w:t>
      </w:r>
    </w:p>
    <w:p>
      <w:pPr>
        <w:spacing w:after="200" w:line="300"/>
      </w:pPr>
      <w:r>
        <w:rPr>
          <w:i/>
          <w:iCs/>
          <w:color w:val="666666"/>
          <w:sz w:val="22"/>
          <w:szCs w:val="22"/>
        </w:rPr>
        <w:t xml:space="preserve">[Complete only if the project is hosted at a company or external organization — e.g., Ericsson AB, given the affiliation of the source papers' authors. State the organization name, the named supervisor(s) there, and how supervision will be provided (on-site, hybrid, meeting cadence). Leave as “Not applicable” if the project will be conducted entirely at KTH.]</w:t>
      </w:r>
    </w:p>
    <w:p>
      <w:pPr>
        <w:spacing w:after="120" w:before="320"/>
      </w:pPr>
      <w:r>
        <w:rPr>
          <w:b/>
          <w:bCs/>
          <w:sz w:val="24"/>
          <w:szCs w:val="24"/>
        </w:rPr>
        <w:t xml:space="preserve">SUGGESTED EXAMINER AT KTH:</w:t>
      </w:r>
    </w:p>
    <w:p>
      <w:pPr>
        <w:spacing w:after="200" w:line="300"/>
      </w:pPr>
      <w:r>
        <w:rPr>
          <w:i/>
          <w:iCs/>
          <w:color w:val="666666"/>
          <w:sz w:val="22"/>
          <w:szCs w:val="22"/>
        </w:rPr>
        <w:t xml:space="preserve">[Name, and whether preliminary contact/interest has been confirmed. Given the topic's overlap with the source papers, a natural starting point is a faculty member in the KTH Software Engineering / EECS division with expertise in CI, program repair, or empirical software engineering — to be confirmed.]</w:t>
      </w:r>
    </w:p>
    <w:p>
      <w:pPr>
        <w:spacing w:after="120" w:before="320"/>
      </w:pPr>
      <w:r>
        <w:rPr>
          <w:b/>
          <w:bCs/>
          <w:sz w:val="24"/>
          <w:szCs w:val="24"/>
        </w:rPr>
        <w:t xml:space="preserve">SUGGESTED SUPERVISOR AT KTH:</w:t>
      </w:r>
    </w:p>
    <w:p>
      <w:pPr>
        <w:spacing w:after="200" w:line="300"/>
      </w:pPr>
      <w:r>
        <w:rPr>
          <w:i/>
          <w:iCs/>
          <w:color w:val="666666"/>
          <w:sz w:val="22"/>
          <w:szCs w:val="22"/>
        </w:rPr>
        <w:t xml:space="preserve">[Name, and whether preliminary contact/interest has been confirmed.]</w:t>
      </w:r>
    </w:p>
    <w:p>
      <w:pPr>
        <w:spacing w:after="120" w:before="320"/>
      </w:pPr>
      <w:r>
        <w:rPr>
          <w:b/>
          <w:bCs/>
          <w:sz w:val="24"/>
          <w:szCs w:val="24"/>
        </w:rPr>
        <w:t xml:space="preserve">RESOURCES:</w:t>
      </w:r>
    </w:p>
    <w:p>
      <w:pPr>
        <w:spacing w:after="200" w:line="300"/>
        <w:jc w:val="both"/>
      </w:pPr>
      <w:r>
        <w:rPr>
          <w:sz w:val="22"/>
          <w:szCs w:val="22"/>
        </w:rPr>
        <w:t xml:space="preserve">The project can build on the following existing resources:</w:t>
      </w:r>
    </w:p>
    <w:p>
      <w:pPr>
        <w:spacing w:after="100" w:line="280"/>
        <w:ind w:left="360"/>
      </w:pPr>
      <w:r>
        <w:rPr>
          <w:sz w:val="22"/>
          <w:szCs w:val="22"/>
        </w:rPr>
        <w:t xml:space="preserve">• The reconstruction dataset, statistical analysis scripts, and companion artifact repository released by Fu et al. (2026a) on Zenodo, which document the CI reconstruction methodology for RTEMS, Zephyr, OpenIPC, and STM32.</w:t>
      </w:r>
    </w:p>
    <w:p>
      <w:pPr>
        <w:spacing w:after="100" w:line="280"/>
        <w:ind w:left="360"/>
      </w:pPr>
      <w:r>
        <w:rPr>
          <w:sz w:val="22"/>
          <w:szCs w:val="22"/>
        </w:rPr>
        <w:t xml:space="preserve">• The PhantomRun repair-framework methodology and prompt templates described by Fu et al. (2026b) as a baseline to re-implement and compare against.</w:t>
      </w:r>
    </w:p>
    <w:p>
      <w:pPr>
        <w:spacing w:after="100" w:line="280"/>
        <w:ind w:left="360"/>
      </w:pPr>
      <w:r>
        <w:rPr>
          <w:sz w:val="22"/>
          <w:szCs w:val="22"/>
        </w:rPr>
        <w:t xml:space="preserve">• Publicly available open-source LLMs suitable for local or API-based inference (e.g., CodeLlama, CodeT5+, or a hosted model such as Claude), and standard tool-use/agent frameworks.</w:t>
      </w:r>
    </w:p>
    <w:p>
      <w:pPr>
        <w:spacing w:after="100" w:line="280"/>
        <w:ind w:left="360"/>
      </w:pPr>
      <w:r>
        <w:rPr>
          <w:sz w:val="22"/>
          <w:szCs w:val="22"/>
        </w:rPr>
        <w:t xml:space="preserve">• Public GitHub and GitLab APIs for collecting further pull/merge request and CI log data if the evaluation is extended beyond the original four projects.</w:t>
      </w:r>
    </w:p>
    <w:p>
      <w:pPr>
        <w:spacing w:after="100" w:line="280"/>
        <w:ind w:left="360"/>
      </w:pPr>
      <w:r>
        <w:rPr>
          <w:sz w:val="22"/>
          <w:szCs w:val="22"/>
        </w:rPr>
        <w:t xml:space="preserve">• KTH compute resources for containerized build reconstruction and LLM inference, to be confirmed with the supervisor.</w:t>
      </w:r>
    </w:p>
    <w:p>
      <w:pPr>
        <w:spacing w:after="120" w:before="320"/>
      </w:pPr>
      <w:r>
        <w:rPr>
          <w:b/>
          <w:bCs/>
          <w:sz w:val="24"/>
          <w:szCs w:val="24"/>
        </w:rPr>
        <w:t xml:space="preserve">ELIGIBILITY:</w:t>
      </w:r>
    </w:p>
    <w:p>
      <w:pPr>
        <w:spacing w:after="200" w:line="300"/>
      </w:pPr>
      <w:r>
        <w:rPr>
          <w:i/>
          <w:iCs/>
          <w:color w:val="666666"/>
          <w:sz w:val="22"/>
          <w:szCs w:val="22"/>
        </w:rPr>
        <w:t xml:space="preserve">[Confirm that all prerequisite courses for the degree project have been completed or are in progress with an expected completion date, per the programme's requirements. List the relevant completed courses — e.g., in software engineering, machine learning, and systems/compilers — that satisfy the eligibility criteria.]</w:t>
      </w:r>
    </w:p>
    <w:p>
      <w:pPr>
        <w:spacing w:after="120" w:before="320"/>
      </w:pPr>
      <w:r>
        <w:rPr>
          <w:b/>
          <w:bCs/>
          <w:sz w:val="24"/>
          <w:szCs w:val="24"/>
        </w:rPr>
        <w:t xml:space="preserve">STUDY PLANNING:</w:t>
      </w:r>
    </w:p>
    <w:p>
      <w:pPr>
        <w:spacing w:after="200" w:line="300"/>
      </w:pPr>
      <w:r>
        <w:rPr>
          <w:i/>
          <w:iCs/>
          <w:color w:val="666666"/>
          <w:sz w:val="22"/>
          <w:szCs w:val="22"/>
        </w:rPr>
        <w:t xml:space="preserve">[List any remaining courses to be completed during or after the degree project, with the planned timeline for completing them, to confirm the degree project is one of the final elements of the programme.]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2026-09-07T17:23:21.110Z</dcterms:created>
  <dcterms:modified xsi:type="dcterms:W3CDTF">2026-09-07T17:23:21.110Z</dcterms:modified>
</cp:coreProperties>
</file>

<file path=docProps/custom.xml><?xml version="1.0" encoding="utf-8"?>
<Properties xmlns="http://schemas.openxmlformats.org/officeDocument/2006/custom-properties" xmlns:vt="http://schemas.openxmlformats.org/officeDocument/2006/docPropsVTypes"/>
</file>