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2E5395"/>
          <w:sz w:val="24"/>
          <w:szCs w:val="24"/>
        </w:rPr>
        <w:t xml:space="preserve">Master's Thesis Proposal</w:t>
      </w:r>
    </w:p>
    <w:p>
      <w:pPr>
        <w:spacing w:after="500"/>
        <w:jc w:val="center"/>
      </w:pPr>
      <w:r>
        <w:rPr>
          <w:b/>
          <w:bCs/>
          <w:sz w:val="40"/>
          <w:szCs w:val="40"/>
        </w:rPr>
        <w:t xml:space="preserve">An Agentic Framework for Reconstructing and Automatically Repairing Continuous Integration Build Failures in Open-Source Embedded Software</w:t>
      </w:r>
    </w:p>
    <w:p>
      <w:pPr>
        <w:spacing w:after="1200"/>
        <w:jc w:val="center"/>
      </w:pPr>
      <w:r>
        <w:rPr>
          <w:i/>
          <w:iCs/>
          <w:color w:val="666666"/>
          <w:sz w:val="20"/>
          <w:szCs w:val="20"/>
        </w:rPr>
        <w:t xml:space="preserve">Working title — subject to refinement</w:t>
      </w:r>
    </w:p>
    <w:p>
      <w:pPr>
        <w:spacing w:after="120"/>
        <w:jc w:val="center"/>
      </w:pPr>
      <w:r>
        <w:rPr>
          <w:sz w:val="22"/>
          <w:szCs w:val="22"/>
        </w:rPr>
        <w:t xml:space="preserve">Candidate: [Your Name]</w:t>
      </w:r>
    </w:p>
    <w:p>
      <w:pPr>
        <w:spacing w:after="120"/>
        <w:jc w:val="center"/>
      </w:pPr>
      <w:r>
        <w:rPr>
          <w:sz w:val="22"/>
          <w:szCs w:val="22"/>
        </w:rPr>
        <w:t xml:space="preserve">Programme: [Your Programme / Department]</w:t>
      </w:r>
    </w:p>
    <w:p>
      <w:pPr>
        <w:spacing w:after="120"/>
        <w:jc w:val="center"/>
      </w:pPr>
      <w:r>
        <w:rPr>
          <w:sz w:val="22"/>
          <w:szCs w:val="22"/>
        </w:rPr>
        <w:t xml:space="preserve">Supervisor: [Supervisor Name]</w:t>
      </w:r>
    </w:p>
    <w:p>
      <w:pPr>
        <w:spacing w:after="120"/>
        <w:jc w:val="center"/>
      </w:pPr>
      <w:r>
        <w:rPr>
          <w:sz w:val="22"/>
          <w:szCs w:val="22"/>
        </w:rPr>
        <w:t xml:space="preserve">Date: September 2026</w:t>
      </w:r>
    </w:p>
    <w:p>
      <w:r>
        <w:br w:type="page"/>
      </w:r>
    </w:p>
    <w:p>
      <w:pPr>
        <w:pStyle w:val="Heading1"/>
        <w:spacing w:after="180" w:before="360"/>
      </w:pPr>
      <w:r>
        <w:t xml:space="preserve">Abstract</w:t>
      </w:r>
    </w:p>
    <w:p>
      <w:pPr>
        <w:spacing w:after="200" w:line="300"/>
        <w:jc w:val="both"/>
      </w:pPr>
      <w:r>
        <w:t xml:space="preserve">Continuous Integration (CI) pipelines for open-source embedded systems fail at the compilation stage far more often than in general-purpose software, and a large majority of these failures stem from hardware and toolchain dependencies rather than programming mistakes. Diagnosing and fixing these failures consumes substantial developer time, yet the heterogeneity of embedded build infrastructures — diverse runners, cross-compilation toolchains, board configurations, and log formats — has historically made automated support difficult to build and evaluate. Two recent studies (Fu et al., 2026a, 2026b) address complementary halves of this problem: PhantomRun-Reconstruct demonstrates that 91.8% of historical CI build failures across four major embedded projects can be faithfully replayed outside their native CI environments, and PhantomRun-Repair shows that a single-shot, prompt-and-retry loop around open-source LLMs can resolve up to 45% of reconstructed compilation failures.</w:t>
      </w:r>
    </w:p>
    <w:p>
      <w:pPr>
        <w:spacing w:after="200" w:line="300"/>
        <w:jc w:val="both"/>
      </w:pPr>
      <w:r>
        <w:t xml:space="preserve">This thesis proposes to design, implement, and empirically evaluate an agentic system that unifies and extends both capabilities: an autonomous pipeline that (1) reconstructs a failing CI run in an isolated, faithful environment, (2) parses and classifies the resulting error, (3) retrieves relevant context (prior human fixes, related source files, dependency metadata) through explicit tool calls, (4) plans and executes a repair strategy using an LLM-based agent capable of multi-step reasoning and self-verification, and (5) iterates against the reconstructed CI environment until the build passes or a budget is exhausted. Unlike the fixed, single-turn prompting strategy evaluated in prior work, the proposed system treats repair as a tool-using agent loop — with explicit actions such as ‘inspect log’, ‘search dependency graph’, ‘retrieve similar historical fix’, ‘edit file’, and ‘rebuild’ — which we hypothesise will improve repair rates specifically on the harder, dependency-driven failure classes that current approaches handle poorly. The thesis will contribute an open, reproducible implementation, an empirical comparison against the single-shot baseline, and an analysis of where agentic reasoning does and does not help in automated CI repair.</w:t>
      </w:r>
    </w:p>
    <w:p>
      <w:r>
        <w:br w:type="page"/>
      </w:r>
    </w:p>
    <w:p>
      <w:pPr>
        <w:pStyle w:val="Heading1"/>
        <w:spacing w:after="180" w:before="360"/>
      </w:pPr>
      <w:r>
        <w:t xml:space="preserve">Contents</w:t>
      </w:r>
    </w:p>
    <w:p>
      <w:pPr>
        <w:spacing w:after="200" w:line="300"/>
        <w:jc w:val="both"/>
      </w:pPr>
      <w:r>
        <w:rPr>
          <w:i w:val="false"/>
          <w:iCs w:val="false"/>
        </w:rPr>
        <w:t xml:space="preserve">1. Introduction and Motivation</w:t>
      </w:r>
    </w:p>
    <w:p>
      <w:pPr>
        <w:spacing w:after="200" w:line="300"/>
        <w:jc w:val="both"/>
      </w:pPr>
      <w:r>
        <w:t xml:space="preserve">2. Background and Related Work</w:t>
      </w:r>
    </w:p>
    <w:p>
      <w:pPr>
        <w:spacing w:after="200" w:line="300"/>
        <w:jc w:val="both"/>
      </w:pPr>
      <w:r>
        <w:t xml:space="preserve">3. Problem Statement and Research Questions</w:t>
      </w:r>
    </w:p>
    <w:p>
      <w:pPr>
        <w:spacing w:after="200" w:line="300"/>
        <w:jc w:val="both"/>
      </w:pPr>
      <w:r>
        <w:t xml:space="preserve">4. Proposed System: An Agentic CI Reconstruction-and-Repair Framework</w:t>
      </w:r>
    </w:p>
    <w:p>
      <w:pPr>
        <w:spacing w:after="200" w:line="300"/>
        <w:jc w:val="both"/>
      </w:pPr>
      <w:r>
        <w:t xml:space="preserve">5. Agentic Design: What Changes Relative to Prior Work</w:t>
      </w:r>
    </w:p>
    <w:p>
      <w:pPr>
        <w:spacing w:after="200" w:line="300"/>
        <w:jc w:val="both"/>
      </w:pPr>
      <w:r>
        <w:t xml:space="preserve">6. Evaluation Plan</w:t>
      </w:r>
    </w:p>
    <w:p>
      <w:pPr>
        <w:spacing w:after="200" w:line="300"/>
        <w:jc w:val="both"/>
      </w:pPr>
      <w:r>
        <w:t xml:space="preserve">7. Expected Contributions</w:t>
      </w:r>
    </w:p>
    <w:p>
      <w:pPr>
        <w:spacing w:after="200" w:line="300"/>
        <w:jc w:val="both"/>
      </w:pPr>
      <w:r>
        <w:t xml:space="preserve">8. Timeline and Work Plan</w:t>
      </w:r>
    </w:p>
    <w:p>
      <w:pPr>
        <w:spacing w:after="200" w:line="300"/>
        <w:jc w:val="both"/>
      </w:pPr>
      <w:r>
        <w:t xml:space="preserve">9. Risks and Mitigations</w:t>
      </w:r>
    </w:p>
    <w:p>
      <w:pPr>
        <w:spacing w:after="200" w:line="300"/>
        <w:jc w:val="both"/>
      </w:pPr>
      <w:r>
        <w:t xml:space="preserve">10. References</w:t>
      </w:r>
    </w:p>
    <w:p>
      <w:r>
        <w:br w:type="page"/>
      </w:r>
    </w:p>
    <w:p>
      <w:pPr>
        <w:pStyle w:val="Heading1"/>
        <w:spacing w:after="180" w:before="360"/>
      </w:pPr>
      <w:r>
        <w:t xml:space="preserve">1. Introduction and Motivation</w:t>
      </w:r>
    </w:p>
    <w:p>
      <w:pPr>
        <w:spacing w:after="200" w:line="300"/>
        <w:jc w:val="both"/>
      </w:pPr>
      <w:r>
        <w:t xml:space="preserve">Embedded software development is characterised by tight hardware–software co-development: the same commit may need to compile against dozens of board support packages, SoC variants, and cross-compilation toolchains. This heterogeneity makes CI pipelines for embedded projects considerably more fragile than those of typical application software. Prior industrial and open-source studies report that 7–11% of all CI runs in embedded projects fail specifically at the build (compilation) stage, and that roughly 70% of these failures are dependency-related — missing board support packages, outdated SDKs, or incompatible toolchains — rather than ordinary programming errors.</w:t>
      </w:r>
    </w:p>
    <w:p>
      <w:pPr>
        <w:spacing w:after="200" w:line="300"/>
        <w:jc w:val="both"/>
      </w:pPr>
      <w:r>
        <w:t xml:space="preserve">Two obstacles have historically blocked automated support for this problem. First, CI logs are short-lived and environment-specific: a build that failed on a GitHub-hosted runner six months ago cannot generally be re-run today, because base images drift, package mirrors disappear, and toolchain installers change. Second, even when a failure can be reproduced, the diversity of build systems (CMake/Ninja/west, Autotools, Buildroot, SCons/PlatformIO) and error surfaces (compiler, linker, configuration, packaging) means that no single fixed heuristic generalises across projects.</w:t>
      </w:r>
    </w:p>
    <w:p>
      <w:pPr>
        <w:spacing w:after="200" w:line="300"/>
        <w:jc w:val="both"/>
      </w:pPr>
      <w:r>
        <w:t xml:space="preserve">Recent work has shown that both obstacles are tractable in isolation. This thesis is motivated by the observation that reconstruction and repair have so far been studied as two separate systems with a fixed hand-off between them: reconstruction produces a static log and container image, and repair consumes them through a single prompt-response-rebuild cycle. We hypothesise that treating the whole pipeline as one agentic system — where an LLM-driven agent can decide, at each step, which tool to invoke next (re-examine the log, pull a related file, search for a similar historical fix, inspect the dependency manifest, or attempt an edit) — will both improve repair effectiveness on hard failure classes and produce a more transparent, auditable repair trace than a fixed prompt template.</w:t>
      </w:r>
    </w:p>
    <w:p>
      <w:pPr>
        <w:pStyle w:val="Heading1"/>
        <w:spacing w:after="180" w:before="360"/>
      </w:pPr>
      <w:r>
        <w:t xml:space="preserve">2. Background and Related Work</w:t>
      </w:r>
    </w:p>
    <w:p>
      <w:pPr>
        <w:pStyle w:val="Heading2"/>
        <w:spacing w:after="140" w:before="280"/>
      </w:pPr>
      <w:r>
        <w:t xml:space="preserve">2.1 CI Reconstruction</w:t>
      </w:r>
    </w:p>
    <w:p>
      <w:pPr>
        <w:spacing w:after="200" w:line="300"/>
        <w:jc w:val="both"/>
      </w:pPr>
      <w:r>
        <w:t xml:space="preserve">Fu et al. (2026a), “Where did we fail? — Reproducing build failures in embedded open source software” (EASE 2026), introduce PhantomRun as a unified abstraction layer for retrieving and faithfully re-executing historical CI build logs. Across 4,628 failing CI runs from four projects (RTEMS, Zephyr, OpenIPC, STM32/PlatformIO), the authors reconstruct 91.8% of builds, with the remaining 8.2% failing due to missing hardware dependencies (34%), removed or outdated package repositories (27%), unavailable proprietary toolchains (19%), and implicit environment assumptions (the remainder). Reconstruction proceeds by statically parsing CI configuration files (GitHub Actions YAML, GitLab CI YAML) to recover base images, environment variables, and build invocations, then generating a Dockerfile and build script that reproduce the original build stage in isolation.</w:t>
      </w:r>
    </w:p>
    <w:p>
      <w:pPr>
        <w:pStyle w:val="Heading2"/>
        <w:spacing w:after="140" w:before="280"/>
      </w:pPr>
      <w:r>
        <w:t xml:space="preserve">2.2 Log Parsing and Error Classification</w:t>
      </w:r>
    </w:p>
    <w:p>
      <w:pPr>
        <w:spacing w:after="200" w:line="300"/>
        <w:jc w:val="both"/>
      </w:pPr>
      <w:r>
        <w:t xml:space="preserve">Both PhantomRun papers describe a four-layer log-parsing pipeline: an input layer that tolerantly decodes and normalises raw logs (stripping ANSI codes and progress-bar artefacts); a log-structure layer that maps each build system's characteristic log shape (e.g., west/CMake/Ninja for Zephyr, Autotools/Make for RTEMS) to the underlying compiler and linker diagnostics; an error-message-pattern layer using hierarchical, priority-ordered regular expressions; and a context-window layer that retains a small window of surrounding lines. Errors are assigned to one of five categories — environment setup failure, syntax error, hardware dependency error, non-hardware dependency error, and compiler configuration error — via deterministic, priority-ordered rules.</w:t>
      </w:r>
    </w:p>
    <w:p>
      <w:pPr>
        <w:pStyle w:val="Heading2"/>
        <w:spacing w:after="140" w:before="280"/>
      </w:pPr>
      <w:r>
        <w:t xml:space="preserve">2.3 LLM-Based Automated Repair</w:t>
      </w:r>
    </w:p>
    <w:p>
      <w:pPr>
        <w:spacing w:after="200" w:line="300"/>
        <w:jc w:val="both"/>
      </w:pPr>
      <w:r>
        <w:t xml:space="preserve">Fu et al. (2026b), “PhantomRun: Auto Repair of Compilation Errors in Embedded Open Source Software” (MSR 2026), build on the reconstruction layer to evaluate LLM-based repair. Given a reconstructed failure, the framework extracts the erroneous code snippet, constructs a fixed prompt template containing the buggy source file, the error log, and a retrieved human-fix example, and asks an LLM to emit a replacement snippet. The candidate is validated by re-running the reconstructed CI build; the process repeats up to five times. Evaluating four open-source 7B models (CodeT5+, CodeLlama, Falcon, Bloom) on 4,248 reconstructed compilation errors, the authors report a maximum pass rate of 45% (CodeLlama, using same-project human-fix examples), with pass rate varying significantly by error category: syntax and environment-setup errors are resolved 52–65% of the time, while hardware-dependency errors — the most common category — are resolved only 28–33% of the time.</w:t>
      </w:r>
    </w:p>
    <w:p>
      <w:pPr>
        <w:pStyle w:val="Heading2"/>
        <w:spacing w:after="140" w:before="280"/>
      </w:pPr>
      <w:r>
        <w:t xml:space="preserve">2.4 Related Automated Program Repair and CI Tooling</w:t>
      </w:r>
    </w:p>
    <w:p>
      <w:pPr>
        <w:spacing w:after="200" w:line="300"/>
        <w:jc w:val="both"/>
      </w:pPr>
      <w:r>
        <w:t xml:space="preserve">This work also relates to broader lines of research: CI replay tools such as ActionsRemaker and GitBug-Actions, which reconstruct GitHub Actions workflows for reproducibility studies; log-parsing systems such as LogRAM and DeepLog; and the wider Automated Program Repair (APR) literature, which has progressed from genetic-programming approaches (GenProg) through constraint-based synthesis (Angelix) to LLM-driven repair (DeepDelta, and code-focused decoder models such as Codex, CodeLlama, and DeepSeek-Coder). Most APR work targets test-suite-driven runtime bugs; compilation-failure repair in CI, where no test oracle exists and success is defined purely by build completion, remains comparatively underexplored, and repair as an explicitly agentic, tool-using process — rather than a single-shot prompt — has not yet been studied in this setting.</w:t>
      </w:r>
    </w:p>
    <w:p>
      <w:pPr>
        <w:pStyle w:val="Heading1"/>
        <w:spacing w:after="180" w:before="360"/>
      </w:pPr>
      <w:r>
        <w:t xml:space="preserve">3. Problem Statement and Research Questions</w:t>
      </w:r>
    </w:p>
    <w:p>
      <w:pPr>
        <w:spacing w:after="200" w:line="300"/>
        <w:jc w:val="both"/>
      </w:pPr>
      <w:r>
        <w:t xml:space="preserve">The prior work establishes that (a) embedded CI failures can be reconstructed at scale and (b) a fixed-prompt LLM loop can repair a meaningful fraction of them, but leaves open whether a more deliberative, tool-using agent — one that can inspect additional context on demand rather than receiving it all up front in a static prompt — can close some of the gap on the harder failure categories (particularly hardware- and non-hardware dependency errors, which together account for over 70% of failures but see the lowest repair rates). This thesis addresses that gap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rPr>
          <w:tblHeader/>
        </w:trPr>
        <w:tc>
          <w:tcPr>
            <w:tcW w:type="dxa" w:w="900"/>
            <w:shd w:fill="D9E2F3" w:val="clear"/>
            <w:tcMar>
              <w:top w:type="dxa" w:w="80"/>
              <w:left w:type="dxa" w:w="120"/>
              <w:bottom w:type="dxa" w:w="80"/>
              <w:right w:type="dxa" w:w="120"/>
            </w:tcMar>
          </w:tcPr>
          <w:p>
            <w:pPr>
              <w:jc w:val="left"/>
            </w:pPr>
            <w:r>
              <w:rPr>
                <w:b/>
                <w:bCs/>
                <w:sz w:val="20"/>
                <w:szCs w:val="20"/>
              </w:rPr>
              <w:t xml:space="preserve">ID</w:t>
            </w:r>
          </w:p>
        </w:tc>
        <w:tc>
          <w:tcPr>
            <w:tcW w:type="dxa" w:w="8600"/>
            <w:shd w:fill="D9E2F3" w:val="clear"/>
            <w:tcMar>
              <w:top w:type="dxa" w:w="80"/>
              <w:left w:type="dxa" w:w="120"/>
              <w:bottom w:type="dxa" w:w="80"/>
              <w:right w:type="dxa" w:w="120"/>
            </w:tcMar>
          </w:tcPr>
          <w:p>
            <w:pPr>
              <w:jc w:val="left"/>
            </w:pPr>
            <w:r>
              <w:rPr>
                <w:b/>
                <w:bCs/>
                <w:sz w:val="20"/>
                <w:szCs w:val="20"/>
              </w:rPr>
              <w:t xml:space="preserve">Research Question</w:t>
            </w:r>
          </w:p>
        </w:tc>
      </w:tr>
      <w:tr>
        <w:tc>
          <w:tcPr>
            <w:tcW w:type="dxa" w:w="900"/>
            <w:tcMar>
              <w:top w:type="dxa" w:w="80"/>
              <w:left w:type="dxa" w:w="120"/>
              <w:bottom w:type="dxa" w:w="80"/>
              <w:right w:type="dxa" w:w="120"/>
            </w:tcMar>
          </w:tcPr>
          <w:p>
            <w:pPr>
              <w:jc w:val="left"/>
            </w:pPr>
            <w:r>
              <w:rPr>
                <w:b w:val="false"/>
                <w:bCs w:val="false"/>
                <w:sz w:val="20"/>
                <w:szCs w:val="20"/>
              </w:rPr>
              <w:t xml:space="preserve">RQ1</w:t>
            </w:r>
          </w:p>
        </w:tc>
        <w:tc>
          <w:tcPr>
            <w:tcW w:type="dxa" w:w="8600"/>
            <w:tcMar>
              <w:top w:type="dxa" w:w="80"/>
              <w:left w:type="dxa" w:w="120"/>
              <w:bottom w:type="dxa" w:w="80"/>
              <w:right w:type="dxa" w:w="120"/>
            </w:tcMar>
          </w:tcPr>
          <w:p>
            <w:pPr>
              <w:jc w:val="left"/>
            </w:pPr>
            <w:r>
              <w:rPr>
                <w:b w:val="false"/>
                <w:bCs w:val="false"/>
                <w:sz w:val="20"/>
                <w:szCs w:val="20"/>
              </w:rPr>
              <w:t xml:space="preserve">Can CI reconstruction and log-based error classification be exposed as callable tools within an autonomous agent loop, and does this affect reconstruction fidelity or throughput relative to the offline pipeline of Fu et al. (2026a)?</w:t>
            </w:r>
          </w:p>
        </w:tc>
      </w:tr>
      <w:tr>
        <w:tc>
          <w:tcPr>
            <w:tcW w:type="dxa" w:w="900"/>
            <w:tcMar>
              <w:top w:type="dxa" w:w="80"/>
              <w:left w:type="dxa" w:w="120"/>
              <w:bottom w:type="dxa" w:w="80"/>
              <w:right w:type="dxa" w:w="120"/>
            </w:tcMar>
          </w:tcPr>
          <w:p>
            <w:pPr>
              <w:jc w:val="left"/>
            </w:pPr>
            <w:r>
              <w:rPr>
                <w:b w:val="false"/>
                <w:bCs w:val="false"/>
                <w:sz w:val="20"/>
                <w:szCs w:val="20"/>
              </w:rPr>
              <w:t xml:space="preserve">RQ2</w:t>
            </w:r>
          </w:p>
        </w:tc>
        <w:tc>
          <w:tcPr>
            <w:tcW w:type="dxa" w:w="8600"/>
            <w:tcMar>
              <w:top w:type="dxa" w:w="80"/>
              <w:left w:type="dxa" w:w="120"/>
              <w:bottom w:type="dxa" w:w="80"/>
              <w:right w:type="dxa" w:w="120"/>
            </w:tcMar>
          </w:tcPr>
          <w:p>
            <w:pPr>
              <w:jc w:val="left"/>
            </w:pPr>
            <w:r>
              <w:rPr>
                <w:b w:val="false"/>
                <w:bCs w:val="false"/>
                <w:sz w:val="20"/>
                <w:szCs w:val="20"/>
              </w:rPr>
              <w:t xml:space="preserve">Does giving the repair agent explicit, on-demand tools (log re-inspection, dependency-graph lookup, historical-fix retrieval, multi-file navigation) improve compilation-repair success rate relative to the single-shot, fixed-prompt baseline of Fu et al. (2026b), holding the LLM backend constant?</w:t>
            </w:r>
          </w:p>
        </w:tc>
      </w:tr>
      <w:tr>
        <w:tc>
          <w:tcPr>
            <w:tcW w:type="dxa" w:w="900"/>
            <w:tcMar>
              <w:top w:type="dxa" w:w="80"/>
              <w:left w:type="dxa" w:w="120"/>
              <w:bottom w:type="dxa" w:w="80"/>
              <w:right w:type="dxa" w:w="120"/>
            </w:tcMar>
          </w:tcPr>
          <w:p>
            <w:pPr>
              <w:jc w:val="left"/>
            </w:pPr>
            <w:r>
              <w:rPr>
                <w:b w:val="false"/>
                <w:bCs w:val="false"/>
                <w:sz w:val="20"/>
                <w:szCs w:val="20"/>
              </w:rPr>
              <w:t xml:space="preserve">RQ3</w:t>
            </w:r>
          </w:p>
        </w:tc>
        <w:tc>
          <w:tcPr>
            <w:tcW w:type="dxa" w:w="8600"/>
            <w:tcMar>
              <w:top w:type="dxa" w:w="80"/>
              <w:left w:type="dxa" w:w="120"/>
              <w:bottom w:type="dxa" w:w="80"/>
              <w:right w:type="dxa" w:w="120"/>
            </w:tcMar>
          </w:tcPr>
          <w:p>
            <w:pPr>
              <w:jc w:val="left"/>
            </w:pPr>
            <w:r>
              <w:rPr>
                <w:b w:val="false"/>
                <w:bCs w:val="false"/>
                <w:sz w:val="20"/>
                <w:szCs w:val="20"/>
              </w:rPr>
              <w:t xml:space="preserve">On which error categories (environment setup, syntax, hardware dependency, non-hardware dependency, compiler configuration) does agentic tool use provide the largest improvement, and why?</w:t>
            </w:r>
          </w:p>
        </w:tc>
      </w:tr>
      <w:tr>
        <w:tc>
          <w:tcPr>
            <w:tcW w:type="dxa" w:w="900"/>
            <w:tcMar>
              <w:top w:type="dxa" w:w="80"/>
              <w:left w:type="dxa" w:w="120"/>
              <w:bottom w:type="dxa" w:w="80"/>
              <w:right w:type="dxa" w:w="120"/>
            </w:tcMar>
          </w:tcPr>
          <w:p>
            <w:pPr>
              <w:jc w:val="left"/>
            </w:pPr>
            <w:r>
              <w:rPr>
                <w:b w:val="false"/>
                <w:bCs w:val="false"/>
                <w:sz w:val="20"/>
                <w:szCs w:val="20"/>
              </w:rPr>
              <w:t xml:space="preserve">RQ4</w:t>
            </w:r>
          </w:p>
        </w:tc>
        <w:tc>
          <w:tcPr>
            <w:tcW w:type="dxa" w:w="8600"/>
            <w:tcMar>
              <w:top w:type="dxa" w:w="80"/>
              <w:left w:type="dxa" w:w="120"/>
              <w:bottom w:type="dxa" w:w="80"/>
              <w:right w:type="dxa" w:w="120"/>
            </w:tcMar>
          </w:tcPr>
          <w:p>
            <w:pPr>
              <w:jc w:val="left"/>
            </w:pPr>
            <w:r>
              <w:rPr>
                <w:b w:val="false"/>
                <w:bCs w:val="false"/>
                <w:sz w:val="20"/>
                <w:szCs w:val="20"/>
              </w:rPr>
              <w:t xml:space="preserve">What is the cost–benefit trade-off (additional LLM calls, wall-clock time, token cost) of agentic repair relative to the single-shot baseline, per successfully repaired build?</w:t>
            </w:r>
          </w:p>
        </w:tc>
      </w:tr>
    </w:tbl>
    <w:p>
      <w:pPr>
        <w:pStyle w:val="Heading1"/>
        <w:spacing w:after="180" w:before="360"/>
      </w:pPr>
      <w:r>
        <w:t xml:space="preserve">4. Proposed System: An Agentic CI Reconstruction-and-Repair Framework</w:t>
      </w:r>
    </w:p>
    <w:p>
      <w:pPr>
        <w:spacing w:after="200" w:line="300"/>
        <w:jc w:val="both"/>
      </w:pPr>
      <w:r>
        <w:t xml:space="preserve">The proposed system, provisionally named ReAgent-CI, is organised as five stages, the first three re-implementing and validating the reconstruction/parsing pipeline of prior work, and the last two constituting the thesis's primary novel contribution.</w:t>
      </w:r>
    </w:p>
    <w:p>
      <w:pPr>
        <w:pStyle w:val="Heading2"/>
        <w:spacing w:after="140" w:before="280"/>
      </w:pPr>
      <w:r>
        <w:t xml:space="preserve">4.1 Stage 1 — Data Collection</w:t>
      </w:r>
    </w:p>
    <w:p>
      <w:pPr>
        <w:spacing w:after="200" w:line="300"/>
        <w:jc w:val="both"/>
      </w:pPr>
      <w:r>
        <w:t xml:space="preserve">Automated collection of pull/merge requests whose build stage failed, via the GitHub and GitLab APIs, filtered to projects tagged embedded, written primarily in C/C++, with a minimum popularity threshold. For each candidate, the pipeline retrieves: the CI configuration file(s) at the failing commit, the raw build log, the failing commit SHA, and the subsequent commit that restored a passing build (the human fix, used as both a retrieval example and an evaluation oracle).</w:t>
      </w:r>
    </w:p>
    <w:p>
      <w:pPr>
        <w:pStyle w:val="Heading2"/>
        <w:spacing w:after="140" w:before="280"/>
      </w:pPr>
      <w:r>
        <w:t xml:space="preserve">4.2 Stage 2 — CI Reconstruction</w:t>
      </w:r>
    </w:p>
    <w:p>
      <w:pPr>
        <w:spacing w:after="200" w:line="300"/>
        <w:jc w:val="both"/>
      </w:pPr>
      <w:r>
        <w:t xml:space="preserve">Deterministic parsing of CI YAML to recover the base image, environment variables, setup commands, and build invocation; generation of a Dockerfile and build script; checkout of the failing commit with matching repository settings (submodules, fetch depth, workspace managers such as west); isolated execution and log capture. Reconstruction failures (missing hardware, dead mirrors, proprietary toolchains) are logged and categorised rather than silently discarded, both to bound the achievable ceiling and to characterise which failures are fundamentally out of scope for any repair strategy.</w:t>
      </w:r>
    </w:p>
    <w:p>
      <w:pPr>
        <w:pStyle w:val="Heading2"/>
        <w:spacing w:after="140" w:before="280"/>
      </w:pPr>
      <w:r>
        <w:t xml:space="preserve">4.3 Stage 3 — Log Parsing and Error Classification</w:t>
      </w:r>
    </w:p>
    <w:p>
      <w:pPr>
        <w:spacing w:after="200" w:line="300"/>
        <w:jc w:val="both"/>
      </w:pPr>
      <w:r>
        <w:t xml:space="preserve">Re-implementation of the four-layer parsing pipeline (input normalisation, log-structure mapping, hierarchical error-pattern matching, context windowing) and the five-category error classifier, validated against a manually labelled sample to confirm classification agreement with prior work before it is trusted as ground truth for RQ3.</w:t>
      </w:r>
    </w:p>
    <w:p>
      <w:pPr>
        <w:pStyle w:val="Heading2"/>
        <w:spacing w:after="140" w:before="280"/>
      </w:pPr>
      <w:r>
        <w:t xml:space="preserve">4.4 Stage 4 — Agentic Repair Loop</w:t>
      </w:r>
    </w:p>
    <w:p>
      <w:pPr>
        <w:spacing w:after="200" w:line="300"/>
        <w:jc w:val="both"/>
      </w:pPr>
      <w:r>
        <w:t xml:space="preserve">This is the stage where the proposed design diverges from prior work. Rather than assembling one static prompt containing the source file, log, and a pre-selected human-fix example, the agent is given a small set of callable tools and decides, at each turn, which to invoke:</w:t>
      </w:r>
    </w:p>
    <w:p>
      <w:pPr>
        <w:pStyle w:val="ListParagraph"/>
        <w:numPr>
          <w:ilvl w:val="0"/>
          <w:numId w:val="2"/>
        </w:numPr>
        <w:spacing w:after="100" w:line="280"/>
      </w:pPr>
      <w:r>
        <w:t xml:space="preserve">read_error_context(file, line, window) — re-read the source around the failure site, expanding the window if the first look is insufficient.</w:t>
      </w:r>
    </w:p>
    <w:p>
      <w:pPr>
        <w:pStyle w:val="ListParagraph"/>
        <w:numPr>
          <w:ilvl w:val="0"/>
          <w:numId w:val="2"/>
        </w:numPr>
        <w:spacing w:after="100" w:line="280"/>
      </w:pPr>
      <w:r>
        <w:t xml:space="preserve">search_historical_fixes(error_signature, scope) — retrieve human-fix examples from the same project, the same error category, or the whole corpus, ranked by similarity, instead of a fixed single example.</w:t>
      </w:r>
    </w:p>
    <w:p>
      <w:pPr>
        <w:pStyle w:val="ListParagraph"/>
        <w:numPr>
          <w:ilvl w:val="0"/>
          <w:numId w:val="2"/>
        </w:numPr>
        <w:spacing w:after="100" w:line="280"/>
      </w:pPr>
      <w:r>
        <w:t xml:space="preserve">inspect_dependency_manifest(target) — for hardware/dependency errors, look up board-support-package or SDK version metadata rather than guessing from the log alone.</w:t>
      </w:r>
    </w:p>
    <w:p>
      <w:pPr>
        <w:pStyle w:val="ListParagraph"/>
        <w:numPr>
          <w:ilvl w:val="0"/>
          <w:numId w:val="2"/>
        </w:numPr>
        <w:spacing w:after="100" w:line="280"/>
      </w:pPr>
      <w:r>
        <w:t xml:space="preserve">propose_patch(file, old_snippet, new_snippet) — emit a candidate edit, scoped to one or more files.</w:t>
      </w:r>
    </w:p>
    <w:p>
      <w:pPr>
        <w:pStyle w:val="ListParagraph"/>
        <w:numPr>
          <w:ilvl w:val="0"/>
          <w:numId w:val="2"/>
        </w:numPr>
        <w:spacing w:after="100" w:line="280"/>
      </w:pPr>
      <w:r>
        <w:t xml:space="preserve">rebuild() — re-invoke Stage 2 in the already-reconstructed environment and return the new log, which becomes the input to the next planning step if the build still fails.</w:t>
      </w:r>
    </w:p>
    <w:p>
      <w:pPr>
        <w:spacing w:after="200" w:line="300"/>
        <w:jc w:val="both"/>
      </w:pPr>
      <w:r>
        <w:t xml:space="preserve">The agent operates under the same attempt budget as prior work (five rebuild attempts) to keep the comparison fair, but is free to make multiple tool calls (log inspection, retrieval, dependency lookup) within a single attempt before proposing a patch. This is expected to matter most for hardware- and non-hardware-dependency errors, where the fixed single-shot prompt currently under-performs, because the missing information (e.g., the correct board-specific macro name, or an up-to-date SDK version) is often available in the repository or dependency metadata but is not part of the original prompt.</w:t>
      </w:r>
    </w:p>
    <w:p>
      <w:pPr>
        <w:pStyle w:val="Heading2"/>
        <w:spacing w:after="140" w:before="280"/>
      </w:pPr>
      <w:r>
        <w:t xml:space="preserve">4.5 Stage 5 — Evaluation Harness</w:t>
      </w:r>
    </w:p>
    <w:p>
      <w:pPr>
        <w:spacing w:after="200" w:line="300"/>
        <w:jc w:val="both"/>
      </w:pPr>
      <w:r>
        <w:t xml:space="preserve">Automated logging of every agent trajectory (tool calls, intermediate observations, final patch, rebuild outcome) to support both the quantitative evaluation in Section 6 and qualitative trajectory analysis for RQ3.</w:t>
      </w:r>
    </w:p>
    <w:p>
      <w:pPr>
        <w:pStyle w:val="Heading1"/>
        <w:spacing w:after="180" w:before="360"/>
      </w:pPr>
      <w:r>
        <w:t xml:space="preserve">5. Agentic Design: What Changes Relative to Prior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D9E2F3" w:val="clear"/>
            <w:tcMar>
              <w:top w:type="dxa" w:w="80"/>
              <w:left w:type="dxa" w:w="120"/>
              <w:bottom w:type="dxa" w:w="80"/>
              <w:right w:type="dxa" w:w="120"/>
            </w:tcMar>
          </w:tcPr>
          <w:p>
            <w:pPr>
              <w:jc w:val="left"/>
            </w:pPr>
            <w:r>
              <w:rPr>
                <w:b/>
                <w:bCs/>
                <w:sz w:val="20"/>
                <w:szCs w:val="20"/>
              </w:rPr>
              <w:t xml:space="preserve">Aspect</w:t>
            </w:r>
          </w:p>
        </w:tc>
        <w:tc>
          <w:tcPr>
            <w:tcW w:type="dxa" w:w="3600"/>
            <w:shd w:fill="D9E2F3" w:val="clear"/>
            <w:tcMar>
              <w:top w:type="dxa" w:w="80"/>
              <w:left w:type="dxa" w:w="120"/>
              <w:bottom w:type="dxa" w:w="80"/>
              <w:right w:type="dxa" w:w="120"/>
            </w:tcMar>
          </w:tcPr>
          <w:p>
            <w:pPr>
              <w:jc w:val="left"/>
            </w:pPr>
            <w:r>
              <w:rPr>
                <w:b/>
                <w:bCs/>
                <w:sz w:val="20"/>
                <w:szCs w:val="20"/>
              </w:rPr>
              <w:t xml:space="preserve">Prior work (single-shot loop)</w:t>
            </w:r>
          </w:p>
        </w:tc>
        <w:tc>
          <w:tcPr>
            <w:tcW w:type="dxa" w:w="3700"/>
            <w:shd w:fill="D9E2F3" w:val="clear"/>
            <w:tcMar>
              <w:top w:type="dxa" w:w="80"/>
              <w:left w:type="dxa" w:w="120"/>
              <w:bottom w:type="dxa" w:w="80"/>
              <w:right w:type="dxa" w:w="120"/>
            </w:tcMar>
          </w:tcPr>
          <w:p>
            <w:pPr>
              <w:jc w:val="left"/>
            </w:pPr>
            <w:r>
              <w:rPr>
                <w:b/>
                <w:bCs/>
                <w:sz w:val="20"/>
                <w:szCs w:val="20"/>
              </w:rPr>
              <w:t xml:space="preserve">Proposed (agentic loop)</w:t>
            </w:r>
          </w:p>
        </w:tc>
      </w:tr>
      <w:tr>
        <w:tc>
          <w:tcPr>
            <w:tcW w:type="dxa" w:w="2200"/>
            <w:tcMar>
              <w:top w:type="dxa" w:w="80"/>
              <w:left w:type="dxa" w:w="120"/>
              <w:bottom w:type="dxa" w:w="80"/>
              <w:right w:type="dxa" w:w="120"/>
            </w:tcMar>
          </w:tcPr>
          <w:p>
            <w:pPr>
              <w:jc w:val="left"/>
            </w:pPr>
            <w:r>
              <w:rPr>
                <w:b w:val="false"/>
                <w:bCs w:val="false"/>
                <w:sz w:val="20"/>
                <w:szCs w:val="20"/>
              </w:rPr>
              <w:t xml:space="preserve">Context assembly</w:t>
            </w:r>
          </w:p>
        </w:tc>
        <w:tc>
          <w:tcPr>
            <w:tcW w:type="dxa" w:w="3600"/>
            <w:tcMar>
              <w:top w:type="dxa" w:w="80"/>
              <w:left w:type="dxa" w:w="120"/>
              <w:bottom w:type="dxa" w:w="80"/>
              <w:right w:type="dxa" w:w="120"/>
            </w:tcMar>
          </w:tcPr>
          <w:p>
            <w:pPr>
              <w:jc w:val="left"/>
            </w:pPr>
            <w:r>
              <w:rPr>
                <w:b w:val="false"/>
                <w:bCs w:val="false"/>
                <w:sz w:val="20"/>
                <w:szCs w:val="20"/>
              </w:rPr>
              <w:t xml:space="preserve">Fixed prompt: full source file + log + one pre-selected human-fix example</w:t>
            </w:r>
          </w:p>
        </w:tc>
        <w:tc>
          <w:tcPr>
            <w:tcW w:type="dxa" w:w="3700"/>
            <w:tcMar>
              <w:top w:type="dxa" w:w="80"/>
              <w:left w:type="dxa" w:w="120"/>
              <w:bottom w:type="dxa" w:w="80"/>
              <w:right w:type="dxa" w:w="120"/>
            </w:tcMar>
          </w:tcPr>
          <w:p>
            <w:pPr>
              <w:jc w:val="left"/>
            </w:pPr>
            <w:r>
              <w:rPr>
                <w:b w:val="false"/>
                <w:bCs w:val="false"/>
                <w:sz w:val="20"/>
                <w:szCs w:val="20"/>
              </w:rPr>
              <w:t xml:space="preserve">Agent chooses what to retrieve and when; can expand context if the first attempt fails</w:t>
            </w:r>
          </w:p>
        </w:tc>
      </w:tr>
      <w:tr>
        <w:tc>
          <w:tcPr>
            <w:tcW w:type="dxa" w:w="2200"/>
            <w:tcMar>
              <w:top w:type="dxa" w:w="80"/>
              <w:left w:type="dxa" w:w="120"/>
              <w:bottom w:type="dxa" w:w="80"/>
              <w:right w:type="dxa" w:w="120"/>
            </w:tcMar>
          </w:tcPr>
          <w:p>
            <w:pPr>
              <w:jc w:val="left"/>
            </w:pPr>
            <w:r>
              <w:rPr>
                <w:b w:val="false"/>
                <w:bCs w:val="false"/>
                <w:sz w:val="20"/>
                <w:szCs w:val="20"/>
              </w:rPr>
              <w:t xml:space="preserve">Fix example selection</w:t>
            </w:r>
          </w:p>
        </w:tc>
        <w:tc>
          <w:tcPr>
            <w:tcW w:type="dxa" w:w="3600"/>
            <w:tcMar>
              <w:top w:type="dxa" w:w="80"/>
              <w:left w:type="dxa" w:w="120"/>
              <w:bottom w:type="dxa" w:w="80"/>
              <w:right w:type="dxa" w:w="120"/>
            </w:tcMar>
          </w:tcPr>
          <w:p>
            <w:pPr>
              <w:jc w:val="left"/>
            </w:pPr>
            <w:r>
              <w:rPr>
                <w:b w:val="false"/>
                <w:bCs w:val="false"/>
                <w:sz w:val="20"/>
                <w:szCs w:val="20"/>
              </w:rPr>
              <w:t xml:space="preserve">Chosen in advance (same-project / random / cross-project, tested as separate conditions)</w:t>
            </w:r>
          </w:p>
        </w:tc>
        <w:tc>
          <w:tcPr>
            <w:tcW w:type="dxa" w:w="3700"/>
            <w:tcMar>
              <w:top w:type="dxa" w:w="80"/>
              <w:left w:type="dxa" w:w="120"/>
              <w:bottom w:type="dxa" w:w="80"/>
              <w:right w:type="dxa" w:w="120"/>
            </w:tcMar>
          </w:tcPr>
          <w:p>
            <w:pPr>
              <w:jc w:val="left"/>
            </w:pPr>
            <w:r>
              <w:rPr>
                <w:b w:val="false"/>
                <w:bCs w:val="false"/>
                <w:sz w:val="20"/>
                <w:szCs w:val="20"/>
              </w:rPr>
              <w:t xml:space="preserve">Retrieved on demand via similarity search, re-queried if the first candidate proves unhelpful</w:t>
            </w:r>
          </w:p>
        </w:tc>
      </w:tr>
      <w:tr>
        <w:tc>
          <w:tcPr>
            <w:tcW w:type="dxa" w:w="2200"/>
            <w:tcMar>
              <w:top w:type="dxa" w:w="80"/>
              <w:left w:type="dxa" w:w="120"/>
              <w:bottom w:type="dxa" w:w="80"/>
              <w:right w:type="dxa" w:w="120"/>
            </w:tcMar>
          </w:tcPr>
          <w:p>
            <w:pPr>
              <w:jc w:val="left"/>
            </w:pPr>
            <w:r>
              <w:rPr>
                <w:b w:val="false"/>
                <w:bCs w:val="false"/>
                <w:sz w:val="20"/>
                <w:szCs w:val="20"/>
              </w:rPr>
              <w:t xml:space="preserve">Dependency errors</w:t>
            </w:r>
          </w:p>
        </w:tc>
        <w:tc>
          <w:tcPr>
            <w:tcW w:type="dxa" w:w="3600"/>
            <w:tcMar>
              <w:top w:type="dxa" w:w="80"/>
              <w:left w:type="dxa" w:w="120"/>
              <w:bottom w:type="dxa" w:w="80"/>
              <w:right w:type="dxa" w:w="120"/>
            </w:tcMar>
          </w:tcPr>
          <w:p>
            <w:pPr>
              <w:jc w:val="left"/>
            </w:pPr>
            <w:r>
              <w:rPr>
                <w:b w:val="false"/>
                <w:bCs w:val="false"/>
                <w:sz w:val="20"/>
                <w:szCs w:val="20"/>
              </w:rPr>
              <w:t xml:space="preserve">Relies solely on log text</w:t>
            </w:r>
          </w:p>
        </w:tc>
        <w:tc>
          <w:tcPr>
            <w:tcW w:type="dxa" w:w="3700"/>
            <w:tcMar>
              <w:top w:type="dxa" w:w="80"/>
              <w:left w:type="dxa" w:w="120"/>
              <w:bottom w:type="dxa" w:w="80"/>
              <w:right w:type="dxa" w:w="120"/>
            </w:tcMar>
          </w:tcPr>
          <w:p>
            <w:pPr>
              <w:jc w:val="left"/>
            </w:pPr>
            <w:r>
              <w:rPr>
                <w:b w:val="false"/>
                <w:bCs w:val="false"/>
                <w:sz w:val="20"/>
                <w:szCs w:val="20"/>
              </w:rPr>
              <w:t xml:space="preserve">Can query dependency/board metadata explicitly, closing part of the information gap</w:t>
            </w:r>
          </w:p>
        </w:tc>
      </w:tr>
      <w:tr>
        <w:tc>
          <w:tcPr>
            <w:tcW w:type="dxa" w:w="2200"/>
            <w:tcMar>
              <w:top w:type="dxa" w:w="80"/>
              <w:left w:type="dxa" w:w="120"/>
              <w:bottom w:type="dxa" w:w="80"/>
              <w:right w:type="dxa" w:w="120"/>
            </w:tcMar>
          </w:tcPr>
          <w:p>
            <w:pPr>
              <w:jc w:val="left"/>
            </w:pPr>
            <w:r>
              <w:rPr>
                <w:b w:val="false"/>
                <w:bCs w:val="false"/>
                <w:sz w:val="20"/>
                <w:szCs w:val="20"/>
              </w:rPr>
              <w:t xml:space="preserve">Iteration</w:t>
            </w:r>
          </w:p>
        </w:tc>
        <w:tc>
          <w:tcPr>
            <w:tcW w:type="dxa" w:w="3600"/>
            <w:tcMar>
              <w:top w:type="dxa" w:w="80"/>
              <w:left w:type="dxa" w:w="120"/>
              <w:bottom w:type="dxa" w:w="80"/>
              <w:right w:type="dxa" w:w="120"/>
            </w:tcMar>
          </w:tcPr>
          <w:p>
            <w:pPr>
              <w:jc w:val="left"/>
            </w:pPr>
            <w:r>
              <w:rPr>
                <w:b w:val="false"/>
                <w:bCs w:val="false"/>
                <w:sz w:val="20"/>
                <w:szCs w:val="20"/>
              </w:rPr>
              <w:t xml:space="preserve">Re-prompt from scratch with the new log after each failed rebuild</w:t>
            </w:r>
          </w:p>
        </w:tc>
        <w:tc>
          <w:tcPr>
            <w:tcW w:type="dxa" w:w="3700"/>
            <w:tcMar>
              <w:top w:type="dxa" w:w="80"/>
              <w:left w:type="dxa" w:w="120"/>
              <w:bottom w:type="dxa" w:w="80"/>
              <w:right w:type="dxa" w:w="120"/>
            </w:tcMar>
          </w:tcPr>
          <w:p>
            <w:pPr>
              <w:jc w:val="left"/>
            </w:pPr>
            <w:r>
              <w:rPr>
                <w:b w:val="false"/>
                <w:bCs w:val="false"/>
                <w:sz w:val="20"/>
                <w:szCs w:val="20"/>
              </w:rPr>
              <w:t xml:space="preserve">Agent retains trajectory memory across attempts within a budget</w:t>
            </w:r>
          </w:p>
        </w:tc>
      </w:tr>
      <w:tr>
        <w:tc>
          <w:tcPr>
            <w:tcW w:type="dxa" w:w="2200"/>
            <w:tcMar>
              <w:top w:type="dxa" w:w="80"/>
              <w:left w:type="dxa" w:w="120"/>
              <w:bottom w:type="dxa" w:w="80"/>
              <w:right w:type="dxa" w:w="120"/>
            </w:tcMar>
          </w:tcPr>
          <w:p>
            <w:pPr>
              <w:jc w:val="left"/>
            </w:pPr>
            <w:r>
              <w:rPr>
                <w:b w:val="false"/>
                <w:bCs w:val="false"/>
                <w:sz w:val="20"/>
                <w:szCs w:val="20"/>
              </w:rPr>
              <w:t xml:space="preserve">Transparency</w:t>
            </w:r>
          </w:p>
        </w:tc>
        <w:tc>
          <w:tcPr>
            <w:tcW w:type="dxa" w:w="3600"/>
            <w:tcMar>
              <w:top w:type="dxa" w:w="80"/>
              <w:left w:type="dxa" w:w="120"/>
              <w:bottom w:type="dxa" w:w="80"/>
              <w:right w:type="dxa" w:w="120"/>
            </w:tcMar>
          </w:tcPr>
          <w:p>
            <w:pPr>
              <w:jc w:val="left"/>
            </w:pPr>
            <w:r>
              <w:rPr>
                <w:b w:val="false"/>
                <w:bCs w:val="false"/>
                <w:sz w:val="20"/>
                <w:szCs w:val="20"/>
              </w:rPr>
              <w:t xml:space="preserve">Single prompt/response pair per attempt</w:t>
            </w:r>
          </w:p>
        </w:tc>
        <w:tc>
          <w:tcPr>
            <w:tcW w:type="dxa" w:w="3700"/>
            <w:tcMar>
              <w:top w:type="dxa" w:w="80"/>
              <w:left w:type="dxa" w:w="120"/>
              <w:bottom w:type="dxa" w:w="80"/>
              <w:right w:type="dxa" w:w="120"/>
            </w:tcMar>
          </w:tcPr>
          <w:p>
            <w:pPr>
              <w:jc w:val="left"/>
            </w:pPr>
            <w:r>
              <w:rPr>
                <w:b w:val="false"/>
                <w:bCs w:val="false"/>
                <w:sz w:val="20"/>
                <w:szCs w:val="20"/>
              </w:rPr>
              <w:t xml:space="preserve">Full tool-call trace per repair, enabling failure-mode analysis</w:t>
            </w:r>
          </w:p>
        </w:tc>
      </w:tr>
    </w:tbl>
    <w:p>
      <w:pPr>
        <w:spacing w:after="200" w:line="300"/>
        <w:jc w:val="both"/>
      </w:pPr>
      <w:r>
        <w:t xml:space="preserve">The comparison is designed to isolate the effect of agentic tool use rather than the choice of LLM: the same backend model(s) will be run in both the single-shot baseline configuration (replicating Fu et al., 2026b, as closely as possible) and the agentic configuration, so that any difference in repair rate can be attributed to the interaction pattern rather than to model capability.</w:t>
      </w:r>
    </w:p>
    <w:p>
      <w:pPr>
        <w:pStyle w:val="Heading1"/>
        <w:spacing w:after="180" w:before="360"/>
      </w:pPr>
      <w:r>
        <w:t xml:space="preserve">6. Evaluation Plan</w:t>
      </w:r>
    </w:p>
    <w:p>
      <w:pPr>
        <w:pStyle w:val="Heading2"/>
        <w:spacing w:after="140" w:before="280"/>
      </w:pPr>
      <w:r>
        <w:t xml:space="preserve">6.1 Data and Baselines</w:t>
      </w:r>
    </w:p>
    <w:p>
      <w:pPr>
        <w:spacing w:after="200" w:line="300"/>
        <w:jc w:val="both"/>
      </w:pPr>
      <w:r>
        <w:t xml:space="preserve">Reconstructed failures from at least two of the four original projects (to keep scope tractable within a thesis timeline while preserving cross-project comparison), supplemented if time allows by one additional embedded project not covered in prior work, to test generalisation. The single-shot PhantomRun-Repair configuration will be re-implemented as the primary baseline; a naive one-shot prompt without any retrieved example will serve as a lower-bound baseline.</w:t>
      </w:r>
    </w:p>
    <w:p>
      <w:pPr>
        <w:pStyle w:val="Heading2"/>
        <w:spacing w:after="140" w:before="280"/>
      </w:pPr>
      <w:r>
        <w:t xml:space="preserve">6.2 Metrics</w:t>
      </w:r>
    </w:p>
    <w:p>
      <w:pPr>
        <w:pStyle w:val="ListParagraph"/>
        <w:numPr>
          <w:ilvl w:val="0"/>
          <w:numId w:val="2"/>
        </w:numPr>
        <w:spacing w:after="100" w:line="280"/>
      </w:pPr>
      <w:r>
        <w:t xml:space="preserve">Reconstruction success rate and failure-cause breakdown (validating Stage 2 against prior reported figures).</w:t>
      </w:r>
    </w:p>
    <w:p>
      <w:pPr>
        <w:pStyle w:val="ListParagraph"/>
        <w:numPr>
          <w:ilvl w:val="0"/>
          <w:numId w:val="2"/>
        </w:numPr>
        <w:spacing w:after="100" w:line="280"/>
      </w:pPr>
      <w:r>
        <w:t xml:space="preserve">CI pass rate (primary repair metric), overall and broken down by error category, project, and number of attempts used.</w:t>
      </w:r>
    </w:p>
    <w:p>
      <w:pPr>
        <w:pStyle w:val="ListParagraph"/>
        <w:numPr>
          <w:ilvl w:val="0"/>
          <w:numId w:val="2"/>
        </w:numPr>
        <w:spacing w:after="100" w:line="280"/>
      </w:pPr>
      <w:r>
        <w:t xml:space="preserve">Fix size (lines of code changed) and a qualitative correctness check on a sample, to rule out trivial or CI-bypassing “fixes” (e.g., wholesale file deletion).</w:t>
      </w:r>
    </w:p>
    <w:p>
      <w:pPr>
        <w:pStyle w:val="ListParagraph"/>
        <w:numPr>
          <w:ilvl w:val="0"/>
          <w:numId w:val="2"/>
        </w:numPr>
        <w:spacing w:after="100" w:line="280"/>
      </w:pPr>
      <w:r>
        <w:t xml:space="preserve">Cost metrics: LLM calls, tokens, and wall-clock time per attempted repair and per successful repair, to quantify the overhead of agentic tool use.</w:t>
      </w:r>
    </w:p>
    <w:p>
      <w:pPr>
        <w:pStyle w:val="Heading2"/>
        <w:spacing w:after="140" w:before="280"/>
      </w:pPr>
      <w:r>
        <w:t xml:space="preserve">6.3 Statistical Analysis</w:t>
      </w:r>
    </w:p>
    <w:p>
      <w:pPr>
        <w:spacing w:after="200" w:line="300"/>
        <w:jc w:val="both"/>
      </w:pPr>
      <w:r>
        <w:t xml:space="preserve">Following the methodology of prior work, differences in pass rate across conditions (single-shot vs. agentic; across error categories; across projects) will be assessed with Chi-square tests of independence, and repeated-measures comparisons across the same set of projects under different agent configurations will use the Friedman test, with post-hoc analysis where a significant effect is found.</w:t>
      </w:r>
    </w:p>
    <w:p>
      <w:pPr>
        <w:pStyle w:val="Heading1"/>
        <w:spacing w:after="180" w:before="360"/>
      </w:pPr>
      <w:r>
        <w:t xml:space="preserve">7. Expected Contributions</w:t>
      </w:r>
    </w:p>
    <w:p>
      <w:pPr>
        <w:pStyle w:val="ListParagraph"/>
        <w:numPr>
          <w:ilvl w:val="0"/>
          <w:numId w:val="3"/>
        </w:numPr>
        <w:spacing w:after="100" w:line="280"/>
      </w:pPr>
      <w:r>
        <w:t xml:space="preserve">An open, reproducible implementation of an agentic CI reconstruction-and-repair pipeline for open-source embedded software, released alongside build logs and agent trajectories.</w:t>
      </w:r>
    </w:p>
    <w:p>
      <w:pPr>
        <w:pStyle w:val="ListParagraph"/>
        <w:numPr>
          <w:ilvl w:val="0"/>
          <w:numId w:val="3"/>
        </w:numPr>
        <w:spacing w:after="100" w:line="280"/>
      </w:pPr>
      <w:r>
        <w:t xml:space="preserve">An empirical comparison of single-shot versus agentic (tool-using) LLM repair on the same reconstructed failure set, holding the LLM backend constant.</w:t>
      </w:r>
    </w:p>
    <w:p>
      <w:pPr>
        <w:pStyle w:val="ListParagraph"/>
        <w:numPr>
          <w:ilvl w:val="0"/>
          <w:numId w:val="3"/>
        </w:numPr>
        <w:spacing w:after="100" w:line="280"/>
      </w:pPr>
      <w:r>
        <w:t xml:space="preserve">A cost–benefit characterisation of agentic repair, quantifying whether repair-rate gains (if any) justify the additional inference cost, per failure category.</w:t>
      </w:r>
    </w:p>
    <w:p>
      <w:pPr>
        <w:pStyle w:val="ListParagraph"/>
        <w:numPr>
          <w:ilvl w:val="0"/>
          <w:numId w:val="3"/>
        </w:numPr>
        <w:spacing w:after="100" w:line="280"/>
      </w:pPr>
      <w:r>
        <w:t xml:space="preserve">A qualitative failure-mode analysis identifying which categories of embedded CI failures remain out of reach for LLM-based repair regardless of agentic scaffolding, informing future work on hybrid symbolic/LLM approaches.</w:t>
      </w:r>
    </w:p>
    <w:p>
      <w:pPr>
        <w:pStyle w:val="Heading1"/>
        <w:spacing w:after="180" w:before="360"/>
      </w:pPr>
      <w:r>
        <w:t xml:space="preserve">8. Timeline and Work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D9E2F3" w:val="clear"/>
            <w:tcMar>
              <w:top w:type="dxa" w:w="80"/>
              <w:left w:type="dxa" w:w="120"/>
              <w:bottom w:type="dxa" w:w="80"/>
              <w:right w:type="dxa" w:w="120"/>
            </w:tcMar>
          </w:tcPr>
          <w:p>
            <w:pPr>
              <w:jc w:val="left"/>
            </w:pPr>
            <w:r>
              <w:rPr>
                <w:b/>
                <w:bCs/>
                <w:sz w:val="20"/>
                <w:szCs w:val="20"/>
              </w:rPr>
              <w:t xml:space="preserve">Month(s)</w:t>
            </w:r>
          </w:p>
        </w:tc>
        <w:tc>
          <w:tcPr>
            <w:tcW w:type="dxa" w:w="7900"/>
            <w:shd w:fill="D9E2F3" w:val="clear"/>
            <w:tcMar>
              <w:top w:type="dxa" w:w="80"/>
              <w:left w:type="dxa" w:w="120"/>
              <w:bottom w:type="dxa" w:w="80"/>
              <w:right w:type="dxa" w:w="120"/>
            </w:tcMar>
          </w:tcPr>
          <w:p>
            <w:pPr>
              <w:jc w:val="left"/>
            </w:pPr>
            <w:r>
              <w:rPr>
                <w:b/>
                <w:bCs/>
                <w:sz w:val="20"/>
                <w:szCs w:val="20"/>
              </w:rPr>
              <w:t xml:space="preserve">Milestone</w:t>
            </w:r>
          </w:p>
        </w:tc>
      </w:tr>
      <w:tr>
        <w:tc>
          <w:tcPr>
            <w:tcW w:type="dxa" w:w="1600"/>
            <w:tcMar>
              <w:top w:type="dxa" w:w="80"/>
              <w:left w:type="dxa" w:w="120"/>
              <w:bottom w:type="dxa" w:w="80"/>
              <w:right w:type="dxa" w:w="120"/>
            </w:tcMar>
          </w:tcPr>
          <w:p>
            <w:pPr>
              <w:jc w:val="left"/>
            </w:pPr>
            <w:r>
              <w:rPr>
                <w:b w:val="false"/>
                <w:bCs w:val="false"/>
                <w:sz w:val="20"/>
                <w:szCs w:val="20"/>
              </w:rPr>
              <w:t xml:space="preserve">1–2</w:t>
            </w:r>
          </w:p>
        </w:tc>
        <w:tc>
          <w:tcPr>
            <w:tcW w:type="dxa" w:w="7900"/>
            <w:tcMar>
              <w:top w:type="dxa" w:w="80"/>
              <w:left w:type="dxa" w:w="120"/>
              <w:bottom w:type="dxa" w:w="80"/>
              <w:right w:type="dxa" w:w="120"/>
            </w:tcMar>
          </w:tcPr>
          <w:p>
            <w:pPr>
              <w:jc w:val="left"/>
            </w:pPr>
            <w:r>
              <w:rPr>
                <w:b w:val="false"/>
                <w:bCs w:val="false"/>
                <w:sz w:val="20"/>
                <w:szCs w:val="20"/>
              </w:rPr>
              <w:t xml:space="preserve">Literature review finalisation; re-implement and validate CI reconstruction (Stage 2) and log parsing/classification (Stage 3) against reported figures from Fu et al. (2026a, 2026b).</w:t>
            </w:r>
          </w:p>
        </w:tc>
      </w:tr>
      <w:tr>
        <w:tc>
          <w:tcPr>
            <w:tcW w:type="dxa" w:w="1600"/>
            <w:tcMar>
              <w:top w:type="dxa" w:w="80"/>
              <w:left w:type="dxa" w:w="120"/>
              <w:bottom w:type="dxa" w:w="80"/>
              <w:right w:type="dxa" w:w="120"/>
            </w:tcMar>
          </w:tcPr>
          <w:p>
            <w:pPr>
              <w:jc w:val="left"/>
            </w:pPr>
            <w:r>
              <w:rPr>
                <w:b w:val="false"/>
                <w:bCs w:val="false"/>
                <w:sz w:val="20"/>
                <w:szCs w:val="20"/>
              </w:rPr>
              <w:t xml:space="preserve">3</w:t>
            </w:r>
          </w:p>
        </w:tc>
        <w:tc>
          <w:tcPr>
            <w:tcW w:type="dxa" w:w="7900"/>
            <w:tcMar>
              <w:top w:type="dxa" w:w="80"/>
              <w:left w:type="dxa" w:w="120"/>
              <w:bottom w:type="dxa" w:w="80"/>
              <w:right w:type="dxa" w:w="120"/>
            </w:tcMar>
          </w:tcPr>
          <w:p>
            <w:pPr>
              <w:jc w:val="left"/>
            </w:pPr>
            <w:r>
              <w:rPr>
                <w:b w:val="false"/>
                <w:bCs w:val="false"/>
                <w:sz w:val="20"/>
                <w:szCs w:val="20"/>
              </w:rPr>
              <w:t xml:space="preserve">Re-implement single-shot repair baseline (Stage 4, fixed-prompt mode); confirm baseline pass rates are consistent with prior published results.</w:t>
            </w:r>
          </w:p>
        </w:tc>
      </w:tr>
      <w:tr>
        <w:tc>
          <w:tcPr>
            <w:tcW w:type="dxa" w:w="1600"/>
            <w:tcMar>
              <w:top w:type="dxa" w:w="80"/>
              <w:left w:type="dxa" w:w="120"/>
              <w:bottom w:type="dxa" w:w="80"/>
              <w:right w:type="dxa" w:w="120"/>
            </w:tcMar>
          </w:tcPr>
          <w:p>
            <w:pPr>
              <w:jc w:val="left"/>
            </w:pPr>
            <w:r>
              <w:rPr>
                <w:b w:val="false"/>
                <w:bCs w:val="false"/>
                <w:sz w:val="20"/>
                <w:szCs w:val="20"/>
              </w:rPr>
              <w:t xml:space="preserve">4–5</w:t>
            </w:r>
          </w:p>
        </w:tc>
        <w:tc>
          <w:tcPr>
            <w:tcW w:type="dxa" w:w="7900"/>
            <w:tcMar>
              <w:top w:type="dxa" w:w="80"/>
              <w:left w:type="dxa" w:w="120"/>
              <w:bottom w:type="dxa" w:w="80"/>
              <w:right w:type="dxa" w:w="120"/>
            </w:tcMar>
          </w:tcPr>
          <w:p>
            <w:pPr>
              <w:jc w:val="left"/>
            </w:pPr>
            <w:r>
              <w:rPr>
                <w:b w:val="false"/>
                <w:bCs w:val="false"/>
                <w:sz w:val="20"/>
                <w:szCs w:val="20"/>
              </w:rPr>
              <w:t xml:space="preserve">Design and implement the agentic repair loop (tool interfaces, retrieval index over historical fixes, dependency-metadata lookup, trajectory logging).</w:t>
            </w:r>
          </w:p>
        </w:tc>
      </w:tr>
      <w:tr>
        <w:tc>
          <w:tcPr>
            <w:tcW w:type="dxa" w:w="1600"/>
            <w:tcMar>
              <w:top w:type="dxa" w:w="80"/>
              <w:left w:type="dxa" w:w="120"/>
              <w:bottom w:type="dxa" w:w="80"/>
              <w:right w:type="dxa" w:w="120"/>
            </w:tcMar>
          </w:tcPr>
          <w:p>
            <w:pPr>
              <w:jc w:val="left"/>
            </w:pPr>
            <w:r>
              <w:rPr>
                <w:b w:val="false"/>
                <w:bCs w:val="false"/>
                <w:sz w:val="20"/>
                <w:szCs w:val="20"/>
              </w:rPr>
              <w:t xml:space="preserve">6</w:t>
            </w:r>
          </w:p>
        </w:tc>
        <w:tc>
          <w:tcPr>
            <w:tcW w:type="dxa" w:w="7900"/>
            <w:tcMar>
              <w:top w:type="dxa" w:w="80"/>
              <w:left w:type="dxa" w:w="120"/>
              <w:bottom w:type="dxa" w:w="80"/>
              <w:right w:type="dxa" w:w="120"/>
            </w:tcMar>
          </w:tcPr>
          <w:p>
            <w:pPr>
              <w:jc w:val="left"/>
            </w:pPr>
            <w:r>
              <w:rPr>
                <w:b w:val="false"/>
                <w:bCs w:val="false"/>
                <w:sz w:val="20"/>
                <w:szCs w:val="20"/>
              </w:rPr>
              <w:t xml:space="preserve">Pilot evaluation on a subset of one project; refine tool set and prompts based on failure-trace analysis.</w:t>
            </w:r>
          </w:p>
        </w:tc>
      </w:tr>
      <w:tr>
        <w:tc>
          <w:tcPr>
            <w:tcW w:type="dxa" w:w="1600"/>
            <w:tcMar>
              <w:top w:type="dxa" w:w="80"/>
              <w:left w:type="dxa" w:w="120"/>
              <w:bottom w:type="dxa" w:w="80"/>
              <w:right w:type="dxa" w:w="120"/>
            </w:tcMar>
          </w:tcPr>
          <w:p>
            <w:pPr>
              <w:jc w:val="left"/>
            </w:pPr>
            <w:r>
              <w:rPr>
                <w:b w:val="false"/>
                <w:bCs w:val="false"/>
                <w:sz w:val="20"/>
                <w:szCs w:val="20"/>
              </w:rPr>
              <w:t xml:space="preserve">7–8</w:t>
            </w:r>
          </w:p>
        </w:tc>
        <w:tc>
          <w:tcPr>
            <w:tcW w:type="dxa" w:w="7900"/>
            <w:tcMar>
              <w:top w:type="dxa" w:w="80"/>
              <w:left w:type="dxa" w:w="120"/>
              <w:bottom w:type="dxa" w:w="80"/>
              <w:right w:type="dxa" w:w="120"/>
            </w:tcMar>
          </w:tcPr>
          <w:p>
            <w:pPr>
              <w:jc w:val="left"/>
            </w:pPr>
            <w:r>
              <w:rPr>
                <w:b w:val="false"/>
                <w:bCs w:val="false"/>
                <w:sz w:val="20"/>
                <w:szCs w:val="20"/>
              </w:rPr>
              <w:t xml:space="preserve">Full evaluation across selected projects; statistical analysis (RQ1–RQ4); cost–benefit accounting.</w:t>
            </w:r>
          </w:p>
        </w:tc>
      </w:tr>
      <w:tr>
        <w:tc>
          <w:tcPr>
            <w:tcW w:type="dxa" w:w="1600"/>
            <w:tcMar>
              <w:top w:type="dxa" w:w="80"/>
              <w:left w:type="dxa" w:w="120"/>
              <w:bottom w:type="dxa" w:w="80"/>
              <w:right w:type="dxa" w:w="120"/>
            </w:tcMar>
          </w:tcPr>
          <w:p>
            <w:pPr>
              <w:jc w:val="left"/>
            </w:pPr>
            <w:r>
              <w:rPr>
                <w:b w:val="false"/>
                <w:bCs w:val="false"/>
                <w:sz w:val="20"/>
                <w:szCs w:val="20"/>
              </w:rPr>
              <w:t xml:space="preserve">9</w:t>
            </w:r>
          </w:p>
        </w:tc>
        <w:tc>
          <w:tcPr>
            <w:tcW w:type="dxa" w:w="7900"/>
            <w:tcMar>
              <w:top w:type="dxa" w:w="80"/>
              <w:left w:type="dxa" w:w="120"/>
              <w:bottom w:type="dxa" w:w="80"/>
              <w:right w:type="dxa" w:w="120"/>
            </w:tcMar>
          </w:tcPr>
          <w:p>
            <w:pPr>
              <w:jc w:val="left"/>
            </w:pPr>
            <w:r>
              <w:rPr>
                <w:b w:val="false"/>
                <w:bCs w:val="false"/>
                <w:sz w:val="20"/>
                <w:szCs w:val="20"/>
              </w:rPr>
              <w:t xml:space="preserve">Qualitative trajectory analysis; write-up of results chapters.</w:t>
            </w:r>
          </w:p>
        </w:tc>
      </w:tr>
      <w:tr>
        <w:tc>
          <w:tcPr>
            <w:tcW w:type="dxa" w:w="1600"/>
            <w:tcMar>
              <w:top w:type="dxa" w:w="80"/>
              <w:left w:type="dxa" w:w="120"/>
              <w:bottom w:type="dxa" w:w="80"/>
              <w:right w:type="dxa" w:w="120"/>
            </w:tcMar>
          </w:tcPr>
          <w:p>
            <w:pPr>
              <w:jc w:val="left"/>
            </w:pPr>
            <w:r>
              <w:rPr>
                <w:b w:val="false"/>
                <w:bCs w:val="false"/>
                <w:sz w:val="20"/>
                <w:szCs w:val="20"/>
              </w:rPr>
              <w:t xml:space="preserve">10–12</w:t>
            </w:r>
          </w:p>
        </w:tc>
        <w:tc>
          <w:tcPr>
            <w:tcW w:type="dxa" w:w="7900"/>
            <w:tcMar>
              <w:top w:type="dxa" w:w="80"/>
              <w:left w:type="dxa" w:w="120"/>
              <w:bottom w:type="dxa" w:w="80"/>
              <w:right w:type="dxa" w:w="120"/>
            </w:tcMar>
          </w:tcPr>
          <w:p>
            <w:pPr>
              <w:jc w:val="left"/>
            </w:pPr>
            <w:r>
              <w:rPr>
                <w:b w:val="false"/>
                <w:bCs w:val="false"/>
                <w:sz w:val="20"/>
                <w:szCs w:val="20"/>
              </w:rPr>
              <w:t xml:space="preserve">Thesis writing, internal review, revisions, and defence preparation.</w:t>
            </w:r>
          </w:p>
        </w:tc>
      </w:tr>
    </w:tbl>
    <w:p>
      <w:pPr>
        <w:pStyle w:val="Heading1"/>
        <w:spacing w:after="180" w:before="360"/>
      </w:pPr>
      <w:r>
        <w:t xml:space="preserve">9. Risks and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D9E2F3" w:val="clear"/>
            <w:tcMar>
              <w:top w:type="dxa" w:w="80"/>
              <w:left w:type="dxa" w:w="120"/>
              <w:bottom w:type="dxa" w:w="80"/>
              <w:right w:type="dxa" w:w="120"/>
            </w:tcMar>
          </w:tcPr>
          <w:p>
            <w:pPr>
              <w:jc w:val="left"/>
            </w:pPr>
            <w:r>
              <w:rPr>
                <w:b/>
                <w:bCs/>
                <w:sz w:val="20"/>
                <w:szCs w:val="20"/>
              </w:rPr>
              <w:t xml:space="preserve">Risk</w:t>
            </w:r>
          </w:p>
        </w:tc>
        <w:tc>
          <w:tcPr>
            <w:tcW w:type="dxa" w:w="5300"/>
            <w:shd w:fill="D9E2F3" w:val="clear"/>
            <w:tcMar>
              <w:top w:type="dxa" w:w="80"/>
              <w:left w:type="dxa" w:w="120"/>
              <w:bottom w:type="dxa" w:w="80"/>
              <w:right w:type="dxa" w:w="120"/>
            </w:tcMar>
          </w:tcPr>
          <w:p>
            <w:pPr>
              <w:jc w:val="left"/>
            </w:pPr>
            <w:r>
              <w:rPr>
                <w:b/>
                <w:bCs/>
                <w:sz w:val="20"/>
                <w:szCs w:val="20"/>
              </w:rPr>
              <w:t xml:space="preserve">Mitigation</w:t>
            </w:r>
          </w:p>
        </w:tc>
      </w:tr>
      <w:tr>
        <w:tc>
          <w:tcPr>
            <w:tcW w:type="dxa" w:w="4200"/>
            <w:tcMar>
              <w:top w:type="dxa" w:w="80"/>
              <w:left w:type="dxa" w:w="120"/>
              <w:bottom w:type="dxa" w:w="80"/>
              <w:right w:type="dxa" w:w="120"/>
            </w:tcMar>
          </w:tcPr>
          <w:p>
            <w:pPr>
              <w:jc w:val="left"/>
            </w:pPr>
            <w:r>
              <w:rPr>
                <w:b w:val="false"/>
                <w:bCs w:val="false"/>
                <w:sz w:val="20"/>
                <w:szCs w:val="20"/>
              </w:rPr>
              <w:t xml:space="preserve">Reconstruction failure rate on chosen projects is higher than the ~92% reported in prior work (e.g., due to further mirror/package rot since data collection).</w:t>
            </w:r>
          </w:p>
        </w:tc>
        <w:tc>
          <w:tcPr>
            <w:tcW w:type="dxa" w:w="5300"/>
            <w:tcMar>
              <w:top w:type="dxa" w:w="80"/>
              <w:left w:type="dxa" w:w="120"/>
              <w:bottom w:type="dxa" w:w="80"/>
              <w:right w:type="dxa" w:w="120"/>
            </w:tcMar>
          </w:tcPr>
          <w:p>
            <w:pPr>
              <w:jc w:val="left"/>
            </w:pPr>
            <w:r>
              <w:rPr>
                <w:b w:val="false"/>
                <w:bCs w:val="false"/>
                <w:sz w:val="20"/>
                <w:szCs w:val="20"/>
              </w:rPr>
              <w:t xml:space="preserve">Scope the evaluation to reconstructable builds only, as prior work does; report the reconstruction ceiling transparently as a threat to validity rather than treating it as a repair failure.</w:t>
            </w:r>
          </w:p>
        </w:tc>
      </w:tr>
      <w:tr>
        <w:tc>
          <w:tcPr>
            <w:tcW w:type="dxa" w:w="4200"/>
            <w:tcMar>
              <w:top w:type="dxa" w:w="80"/>
              <w:left w:type="dxa" w:w="120"/>
              <w:bottom w:type="dxa" w:w="80"/>
              <w:right w:type="dxa" w:w="120"/>
            </w:tcMar>
          </w:tcPr>
          <w:p>
            <w:pPr>
              <w:jc w:val="left"/>
            </w:pPr>
            <w:r>
              <w:rPr>
                <w:b w:val="false"/>
                <w:bCs w:val="false"/>
                <w:sz w:val="20"/>
                <w:szCs w:val="20"/>
              </w:rPr>
              <w:t xml:space="preserve">Agentic loop's additional LLM calls make full-corpus evaluation too costly within the thesis budget.</w:t>
            </w:r>
          </w:p>
        </w:tc>
        <w:tc>
          <w:tcPr>
            <w:tcW w:type="dxa" w:w="5300"/>
            <w:tcMar>
              <w:top w:type="dxa" w:w="80"/>
              <w:left w:type="dxa" w:w="120"/>
              <w:bottom w:type="dxa" w:w="80"/>
              <w:right w:type="dxa" w:w="120"/>
            </w:tcMar>
          </w:tcPr>
          <w:p>
            <w:pPr>
              <w:jc w:val="left"/>
            </w:pPr>
            <w:r>
              <w:rPr>
                <w:b w:val="false"/>
                <w:bCs w:val="false"/>
                <w:sz w:val="20"/>
                <w:szCs w:val="20"/>
              </w:rPr>
              <w:t xml:space="preserve">Evaluate on a stratified sample balanced across error categories and projects rather than the full 4,000+ failure set; report confidence intervals.</w:t>
            </w:r>
          </w:p>
        </w:tc>
      </w:tr>
      <w:tr>
        <w:tc>
          <w:tcPr>
            <w:tcW w:type="dxa" w:w="4200"/>
            <w:tcMar>
              <w:top w:type="dxa" w:w="80"/>
              <w:left w:type="dxa" w:w="120"/>
              <w:bottom w:type="dxa" w:w="80"/>
              <w:right w:type="dxa" w:w="120"/>
            </w:tcMar>
          </w:tcPr>
          <w:p>
            <w:pPr>
              <w:jc w:val="left"/>
            </w:pPr>
            <w:r>
              <w:rPr>
                <w:b w:val="false"/>
                <w:bCs w:val="false"/>
                <w:sz w:val="20"/>
                <w:szCs w:val="20"/>
              </w:rPr>
              <w:t xml:space="preserve">Agent tool use does not outperform the single-shot baseline on some or all categories.</w:t>
            </w:r>
          </w:p>
        </w:tc>
        <w:tc>
          <w:tcPr>
            <w:tcW w:type="dxa" w:w="5300"/>
            <w:tcMar>
              <w:top w:type="dxa" w:w="80"/>
              <w:left w:type="dxa" w:w="120"/>
              <w:bottom w:type="dxa" w:w="80"/>
              <w:right w:type="dxa" w:w="120"/>
            </w:tcMar>
          </w:tcPr>
          <w:p>
            <w:pPr>
              <w:jc w:val="left"/>
            </w:pPr>
            <w:r>
              <w:rPr>
                <w:b w:val="false"/>
                <w:bCs w:val="false"/>
                <w:sz w:val="20"/>
                <w:szCs w:val="20"/>
              </w:rPr>
              <w:t xml:space="preserve">This is a valid and reportable outcome; the thesis frames RQ2–RQ3 as open empirical questions, not assumed results, and a null result on some categories still answers RQ3 informatively.</w:t>
            </w:r>
          </w:p>
        </w:tc>
      </w:tr>
      <w:tr>
        <w:tc>
          <w:tcPr>
            <w:tcW w:type="dxa" w:w="4200"/>
            <w:tcMar>
              <w:top w:type="dxa" w:w="80"/>
              <w:left w:type="dxa" w:w="120"/>
              <w:bottom w:type="dxa" w:w="80"/>
              <w:right w:type="dxa" w:w="120"/>
            </w:tcMar>
          </w:tcPr>
          <w:p>
            <w:pPr>
              <w:jc w:val="left"/>
            </w:pPr>
            <w:r>
              <w:rPr>
                <w:b w:val="false"/>
                <w:bCs w:val="false"/>
                <w:sz w:val="20"/>
                <w:szCs w:val="20"/>
              </w:rPr>
              <w:t xml:space="preserve">Access to proprietary/vendor toolchains blocks reconstruction for some hardware targets.</w:t>
            </w:r>
          </w:p>
        </w:tc>
        <w:tc>
          <w:tcPr>
            <w:tcW w:type="dxa" w:w="5300"/>
            <w:tcMar>
              <w:top w:type="dxa" w:w="80"/>
              <w:left w:type="dxa" w:w="120"/>
              <w:bottom w:type="dxa" w:w="80"/>
              <w:right w:type="dxa" w:w="120"/>
            </w:tcMar>
          </w:tcPr>
          <w:p>
            <w:pPr>
              <w:jc w:val="left"/>
            </w:pPr>
            <w:r>
              <w:rPr>
                <w:b w:val="false"/>
                <w:bCs w:val="false"/>
                <w:sz w:val="20"/>
                <w:szCs w:val="20"/>
              </w:rPr>
              <w:t xml:space="preserve">Restrict scope to projects/targets whose toolchains are publicly redistributable, consistent with the reconstruction-failure taxonomy already reported in prior work.</w:t>
            </w:r>
          </w:p>
        </w:tc>
      </w:tr>
    </w:tbl>
    <w:p>
      <w:pPr>
        <w:pStyle w:val="Heading1"/>
        <w:spacing w:after="180" w:before="360"/>
      </w:pPr>
      <w:r>
        <w:t xml:space="preserve">10. References</w:t>
      </w:r>
    </w:p>
    <w:p>
      <w:pPr>
        <w:spacing w:after="200" w:line="300"/>
        <w:jc w:val="both"/>
      </w:pPr>
      <w:r>
        <w:t xml:space="preserve">Fu, H., Eldh, S., Ermedahl, A., Wiklund, K., Haller, P., &amp; Artho, C. (2026a). Where did we fail? — Reproducing build failures in embedded open source software. In Proceedings of the International Conference on Evaluation and Assessment in Software Engineering (EASE 2026), Glasgow, UK.</w:t>
      </w:r>
    </w:p>
    <w:p>
      <w:pPr>
        <w:spacing w:after="200" w:line="300"/>
        <w:jc w:val="both"/>
      </w:pPr>
      <w:r>
        <w:t xml:space="preserve">Fu, H., Ermedahl, A., Eldh, S., Wiklund, K., Haller, P., &amp; Artho, C. (2026b). PhantomRun: Auto Repair of Compilation Errors in Embedded Open Source Software. In Proceedings of the 23rd International Conference on Mining Software Repositories (MSR 2026), Rio de Janeiro, Brazil. https://doi.org/10.1145/3793302.3793346</w:t>
      </w:r>
    </w:p>
    <w:p>
      <w:pPr>
        <w:spacing w:after="200" w:line="300"/>
        <w:jc w:val="both"/>
      </w:pPr>
      <w:r>
        <w:t xml:space="preserve">Fu, H., Eldh, S., Wiklund, K., Ermedahl, A., &amp; Artho, C. (2022). Prevalence of continuous integration failures in industrial systems with hardware-in-the-loop testing. In IEEE International Symposium on Software Reliability Engineering Workshops (ISSREW).</w:t>
      </w:r>
    </w:p>
    <w:p>
      <w:pPr>
        <w:spacing w:after="200" w:line="300"/>
        <w:jc w:val="both"/>
      </w:pPr>
      <w:r>
        <w:t xml:space="preserve">Fu, H., Eldh, S., Wiklund, K., Ermedahl, A., Haller, P., &amp; Artho, C. (2025). Auto-repair without test cases: How LLMs fix compilation errors in large industrial embedded code. arXiv:2510.13575.</w:t>
      </w:r>
    </w:p>
    <w:p>
      <w:pPr>
        <w:spacing w:after="200" w:line="300"/>
        <w:jc w:val="both"/>
      </w:pPr>
      <w:r>
        <w:t xml:space="preserve">Kerzazi, N., Khomh, F., &amp; Adams, B. (2014). Why Do Automated Builds Break? An Empirical Study. In IEEE International Conference on Software Maintenance and Evolution (ICSME).</w:t>
      </w:r>
    </w:p>
    <w:p>
      <w:pPr>
        <w:spacing w:after="200" w:line="300"/>
        <w:jc w:val="both"/>
      </w:pPr>
      <w:r>
        <w:t xml:space="preserve">Le Goues, C., Nguyen, T., Forrest, S., &amp; Weimer, W. (2012). GenProg: A Generic Method for Automatic Software Repair. IEEE Transactions on Software Engineering, 38(1).</w:t>
      </w:r>
    </w:p>
    <w:p>
      <w:pPr>
        <w:spacing w:after="200" w:line="300"/>
        <w:jc w:val="both"/>
      </w:pPr>
      <w:r>
        <w:t xml:space="preserve">Roziere, B. et al. (2023). Code Llama: Open Foundation Models for Code. arXiv:2308.12950.</w:t>
      </w:r>
    </w:p>
    <w:p>
      <w:pPr>
        <w:spacing w:after="200" w:line="300"/>
        <w:jc w:val="both"/>
      </w:pPr>
      <w:r>
        <w:t xml:space="preserve">Saavedra, N., Silva, A., &amp; Monperrus, M. (2024). GitBug-Actions: Building Reproducible Bug-Fix Benchmarks with GitHub Actions. In ICSE Companion 2024.</w:t>
      </w:r>
    </w:p>
    <w:p>
      <w:pPr>
        <w:spacing w:after="200" w:line="300"/>
        <w:jc w:val="both"/>
      </w:pPr>
      <w:r>
        <w:t xml:space="preserve">Wang, Y. et al. (2023). CodeT5+: Open Code Large Language Models for Code Understanding and Generation. In EMNLP 2023.</w:t>
      </w:r>
    </w:p>
    <w:p>
      <w:pPr>
        <w:spacing w:after="200" w:line="300"/>
        <w:jc w:val="both"/>
      </w:pPr>
      <w:r>
        <w:t xml:space="preserve">Note: Full reference list to be completed and formatted per the department's required citation style during the writing phase; additional sources on agentic LLM architectures (e.g., ReAct-style tool-use prompting) and retrieval-augmented program repair will be added as the related-work review is finalised.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5395"/>
      <w:sz w:val="26"/>
      <w:szCs w:val="26"/>
    </w:rPr>
  </w:style>
  <w:style w:type="paragraph" w:styleId="Heading3">
    <w:name w:val="Heading 3"/>
    <w:basedOn w:val="Normal"/>
    <w:next w:val="Normal"/>
    <w:qFormat/>
    <w:pPr>
      <w:spacing w:after="100" w:before="220"/>
    </w:pPr>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2026-09-07T17:21:58.476Z</dcterms:created>
  <dcterms:modified xsi:type="dcterms:W3CDTF">2026-09-07T17:21:58.487Z</dcterms:modified>
</cp:coreProperties>
</file>

<file path=docProps/custom.xml><?xml version="1.0" encoding="utf-8"?>
<Properties xmlns="http://schemas.openxmlformats.org/officeDocument/2006/custom-properties" xmlns:vt="http://schemas.openxmlformats.org/officeDocument/2006/docPropsVTypes"/>
</file>