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7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7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7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7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7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7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7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>
              <w:rPr>
                <w:rFonts w:ascii="Times New Roman" w:eastAsia="宋体" w:hAnsi="Times New Roman" w:cs="宋体"/>
                <w:sz w:val="21"/>
              </w:rPr>
              <w:t>供应链建模：独立完成选址</w:t>
            </w:r>
            <w:r>
              <w:rPr>
                <w:rFonts w:ascii="Times New Roman" w:eastAsia="宋体" w:hAnsi="Times New Roman"/>
                <w:sz w:val="21"/>
              </w:rPr>
              <w:t>-</w:t>
            </w:r>
            <w:r>
              <w:rPr>
                <w:rFonts w:ascii="Times New Roman" w:eastAsia="宋体" w:hAnsi="Times New Roman" w:cs="宋体"/>
                <w:sz w:val="21"/>
              </w:rPr>
              <w:t>路径双层优化模型，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求解，运营成本降低</w:t>
            </w:r>
            <w:r>
              <w:rPr>
                <w:rFonts w:ascii="Times New Roman" w:eastAsia="宋体" w:hAnsi="Times New Roman"/>
                <w:sz w:val="21"/>
              </w:rPr>
              <w:t>18.7%</w:t>
            </w:r>
            <w:r>
              <w:rPr>
                <w:rFonts w:ascii="Times New Roman" w:eastAsia="宋体" w:hAnsi="Times New Roman" w:cs="宋体"/>
                <w:sz w:val="21"/>
              </w:rPr>
              <w:t>；数据分析：</w:t>
            </w:r>
            <w:r>
              <w:rPr>
                <w:rFonts w:ascii="Times New Roman" w:eastAsia="宋体" w:hAnsi="Times New Roman"/>
                <w:sz w:val="21"/>
              </w:rPr>
              <w:t>Python/R/SPSS</w:t>
            </w:r>
            <w:r>
              <w:rPr>
                <w:rFonts w:ascii="Times New Roman" w:eastAsia="宋体" w:hAnsi="Times New Roman" w:cs="宋体"/>
                <w:sz w:val="21"/>
              </w:rPr>
              <w:t>，累计处理</w:t>
            </w:r>
            <w:r>
              <w:rPr>
                <w:rFonts w:ascii="Times New Roman" w:eastAsia="宋体" w:hAnsi="Times New Roman"/>
                <w:sz w:val="21"/>
              </w:rPr>
              <w:t>4.5</w:t>
            </w:r>
            <w:r>
              <w:rPr>
                <w:rFonts w:ascii="Times New Roman" w:eastAsia="宋体" w:hAnsi="Times New Roman" w:cs="宋体"/>
                <w:sz w:val="21"/>
              </w:rPr>
              <w:t>万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 w:cs="宋体"/>
                <w:sz w:val="21"/>
              </w:rPr>
              <w:t>业务数据与</w:t>
            </w:r>
            <w:r>
              <w:rPr>
                <w:rFonts w:ascii="Times New Roman" w:eastAsia="宋体" w:hAnsi="Times New Roman"/>
                <w:sz w:val="21"/>
              </w:rPr>
              <w:t>328</w:t>
            </w:r>
            <w:r>
              <w:rPr>
                <w:rFonts w:ascii="Times New Roman" w:eastAsia="宋体" w:hAnsi="Times New Roman" w:cs="宋体"/>
                <w:sz w:val="21"/>
              </w:rPr>
              <w:t>份问卷，独立完成清洗→建模→可视化→结论全流程；运营实操：用友</w:t>
            </w:r>
            <w:r>
              <w:rPr>
                <w:rFonts w:ascii="Times New Roman" w:eastAsia="宋体" w:hAnsi="Times New Roman"/>
                <w:sz w:val="21"/>
              </w:rPr>
              <w:t>U8+ERP</w:t>
            </w:r>
            <w:r>
              <w:rPr>
                <w:rFonts w:ascii="Times New Roman" w:eastAsia="宋体" w:hAnsi="Times New Roman" w:cs="宋体"/>
                <w:sz w:val="21"/>
              </w:rPr>
              <w:t>全流程，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 w:cs="宋体"/>
                <w:sz w:val="21"/>
              </w:rPr>
              <w:t>个月项目助理（</w:t>
            </w:r>
            <w:r>
              <w:rPr>
                <w:rFonts w:ascii="Times New Roman" w:eastAsia="宋体" w:hAnsi="Times New Roman"/>
                <w:sz w:val="21"/>
              </w:rPr>
              <w:t>200+</w:t>
            </w:r>
            <w:r>
              <w:rPr>
                <w:rFonts w:ascii="Times New Roman" w:eastAsia="宋体" w:hAnsi="Times New Roman" w:cs="宋体"/>
                <w:sz w:val="21"/>
              </w:rPr>
              <w:t>份材料统筹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 w:cs="宋体"/>
                <w:sz w:val="21"/>
              </w:rPr>
              <w:t>跨部门对接），瑞幸门店库存与效期管理经验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70" w:lineRule="atLeast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7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7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7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>
              <w:rPr>
                <w:rFonts w:ascii="Times New Roman" w:eastAsia="宋体" w:hAnsi="Times New Roman" w:cs="宋体"/>
                <w:sz w:val="21"/>
              </w:rPr>
              <w:t>供应链建模与仿真、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供应链管理综合实验、供应链资源规划、采购管理、物流管理、统计学、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7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7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7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7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模型构建：针对济南历下区老龄化小区自提点布局零散问题，构建选址</w:t>
            </w:r>
            <w:r>
              <w:rPr>
                <w:rFonts w:ascii="Times New Roman" w:eastAsia="宋体" w:hAnsi="Times New Roman"/>
                <w:sz w:val="21"/>
              </w:rPr>
              <w:t>-</w:t>
            </w:r>
            <w:r>
              <w:rPr>
                <w:rFonts w:ascii="Times New Roman" w:eastAsia="宋体" w:hAnsi="Times New Roman" w:cs="宋体"/>
                <w:sz w:val="21"/>
              </w:rPr>
              <w:t>路径双层优化模型，将年龄分层服务半径与电梯等待时间纳入目标函数</w:t>
            </w:r>
          </w:p>
          <w:p w14:paraId="3CF362CC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算法求解：基于</w:t>
            </w:r>
            <w:r>
              <w:rPr>
                <w:rFonts w:ascii="Times New Roman" w:eastAsia="宋体" w:hAnsi="Times New Roman"/>
                <w:sz w:val="21"/>
              </w:rPr>
              <w:t>15</w:t>
            </w:r>
            <w:r>
              <w:rPr>
                <w:rFonts w:ascii="Times New Roman" w:eastAsia="宋体" w:hAnsi="Times New Roman" w:cs="宋体"/>
                <w:sz w:val="21"/>
              </w:rPr>
              <w:t>个候选点、日均</w:t>
            </w:r>
            <w:r>
              <w:rPr>
                <w:rFonts w:ascii="Times New Roman" w:eastAsia="宋体" w:hAnsi="Times New Roman"/>
                <w:sz w:val="21"/>
              </w:rPr>
              <w:t>345</w:t>
            </w:r>
            <w:r>
              <w:rPr>
                <w:rFonts w:ascii="Times New Roman" w:eastAsia="宋体" w:hAnsi="Times New Roman" w:cs="宋体"/>
                <w:sz w:val="21"/>
              </w:rPr>
              <w:t>单真实数据，用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完成求解，提出“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 w:cs="宋体"/>
                <w:sz w:val="21"/>
              </w:rPr>
              <w:t>核心点</w:t>
            </w:r>
            <w:r>
              <w:rPr>
                <w:rFonts w:ascii="Times New Roman" w:eastAsia="宋体" w:hAnsi="Times New Roman"/>
                <w:sz w:val="21"/>
              </w:rPr>
              <w:t>+4</w:t>
            </w:r>
            <w:r>
              <w:rPr>
                <w:rFonts w:ascii="Times New Roman" w:eastAsia="宋体" w:hAnsi="Times New Roman" w:cs="宋体"/>
                <w:sz w:val="21"/>
              </w:rPr>
              <w:t>动态临时点”弹性布局方案</w:t>
            </w:r>
          </w:p>
          <w:p w14:paraId="60220340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降本增效：模型测算总成本降低</w:t>
            </w:r>
            <w:r>
              <w:rPr>
                <w:rFonts w:ascii="Times New Roman" w:eastAsia="宋体" w:hAnsi="Times New Roman"/>
                <w:sz w:val="21"/>
              </w:rPr>
              <w:t>18.7%</w:t>
            </w:r>
            <w:r>
              <w:rPr>
                <w:rFonts w:ascii="Times New Roman" w:eastAsia="宋体" w:hAnsi="Times New Roman" w:cs="宋体"/>
                <w:sz w:val="21"/>
              </w:rPr>
              <w:t>，老年覆盖率</w:t>
            </w:r>
            <w:r>
              <w:rPr>
                <w:rFonts w:ascii="Times New Roman" w:eastAsia="宋体" w:hAnsi="Times New Roman"/>
                <w:sz w:val="21"/>
              </w:rPr>
              <w:t>53.4%</w:t>
            </w:r>
            <w:r>
              <w:rPr>
                <w:rFonts w:ascii="Times New Roman" w:eastAsia="宋体" w:hAnsi="Times New Roman" w:cs="宋体"/>
                <w:sz w:val="21"/>
              </w:rPr>
              <w:t>→</w:t>
            </w:r>
            <w:r>
              <w:rPr>
                <w:rFonts w:ascii="Times New Roman" w:eastAsia="宋体" w:hAnsi="Times New Roman"/>
                <w:sz w:val="21"/>
              </w:rPr>
              <w:t>87.3%</w:t>
            </w:r>
            <w:r>
              <w:rPr>
                <w:rFonts w:ascii="Times New Roman" w:eastAsia="宋体" w:hAnsi="Times New Roman" w:cs="宋体"/>
                <w:sz w:val="21"/>
              </w:rPr>
              <w:t>，配送时长缩短</w:t>
            </w:r>
            <w:r>
              <w:rPr>
                <w:rFonts w:ascii="Times New Roman" w:eastAsia="宋体" w:hAnsi="Times New Roman"/>
                <w:sz w:val="21"/>
              </w:rPr>
              <w:t>22.3%</w:t>
            </w:r>
            <w:r>
              <w:rPr>
                <w:rFonts w:ascii="Times New Roman" w:eastAsia="宋体" w:hAnsi="Times New Roman" w:cs="宋体"/>
                <w:sz w:val="21"/>
              </w:rPr>
              <w:t>，覆盖平衡性指数</w:t>
            </w:r>
            <w:r>
              <w:rPr>
                <w:rFonts w:ascii="Times New Roman" w:eastAsia="宋体" w:hAnsi="Times New Roman"/>
                <w:sz w:val="21"/>
              </w:rPr>
              <w:t>0.88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7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7777777" w:rsidR="003D2FE7" w:rsidRPr="00BF4C70" w:rsidRDefault="003D2FE7" w:rsidP="00CC255E">
            <w:pPr>
              <w:spacing w:line="27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2025.10-2025.12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2DC561C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问卷调研：基于</w:t>
            </w:r>
            <w:r>
              <w:rPr>
                <w:rFonts w:ascii="Times New Roman" w:eastAsia="宋体" w:hAnsi="Times New Roman"/>
                <w:sz w:val="21"/>
              </w:rPr>
              <w:t>TAM</w:t>
            </w:r>
            <w:r>
              <w:rPr>
                <w:rFonts w:ascii="Times New Roman" w:eastAsia="宋体" w:hAnsi="Times New Roman" w:cs="宋体"/>
                <w:sz w:val="21"/>
              </w:rPr>
              <w:t>模型设计</w:t>
            </w:r>
            <w:r>
              <w:rPr>
                <w:rFonts w:ascii="Times New Roman" w:eastAsia="宋体" w:hAnsi="Times New Roman"/>
                <w:sz w:val="21"/>
              </w:rPr>
              <w:t>7</w:t>
            </w:r>
            <w:r>
              <w:rPr>
                <w:rFonts w:ascii="Times New Roman" w:eastAsia="宋体" w:hAnsi="Times New Roman" w:cs="宋体"/>
                <w:sz w:val="21"/>
              </w:rPr>
              <w:t>点李克特量表问卷，回收</w:t>
            </w:r>
            <w:r>
              <w:rPr>
                <w:rFonts w:ascii="Times New Roman" w:eastAsia="宋体" w:hAnsi="Times New Roman"/>
                <w:sz w:val="21"/>
              </w:rPr>
              <w:t>328</w:t>
            </w:r>
            <w:r>
              <w:rPr>
                <w:rFonts w:ascii="Times New Roman" w:eastAsia="宋体" w:hAnsi="Times New Roman" w:cs="宋体"/>
                <w:sz w:val="21"/>
              </w:rPr>
              <w:t>份有效样本，用</w:t>
            </w:r>
            <w:r>
              <w:rPr>
                <w:rFonts w:ascii="Times New Roman" w:eastAsia="宋体" w:hAnsi="Times New Roman"/>
                <w:sz w:val="21"/>
              </w:rPr>
              <w:t>SPSS</w:t>
            </w:r>
            <w:r>
              <w:rPr>
                <w:rFonts w:ascii="Times New Roman" w:eastAsia="宋体" w:hAnsi="Times New Roman" w:cs="宋体"/>
                <w:sz w:val="21"/>
              </w:rPr>
              <w:t>和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完成统计分析</w:t>
            </w:r>
          </w:p>
          <w:p w14:paraId="29E03987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实证结论：验证交互性（</w:t>
            </w:r>
            <w:r>
              <w:rPr>
                <w:rFonts w:ascii="Times New Roman" w:eastAsia="宋体" w:hAnsi="Times New Roman"/>
                <w:sz w:val="21"/>
              </w:rPr>
              <w:t>β</w:t>
            </w:r>
            <w:r>
              <w:rPr>
                <w:rFonts w:ascii="Times New Roman" w:eastAsia="宋体" w:hAnsi="Times New Roman"/>
                <w:sz w:val="21"/>
              </w:rPr>
              <w:t>=0.42</w:t>
            </w:r>
            <w:r>
              <w:rPr>
                <w:rFonts w:ascii="Times New Roman" w:eastAsia="宋体" w:hAnsi="Times New Roman" w:cs="宋体"/>
                <w:sz w:val="21"/>
              </w:rPr>
              <w:t>）、个性化（</w:t>
            </w:r>
            <w:r>
              <w:rPr>
                <w:rFonts w:ascii="Times New Roman" w:eastAsia="宋体" w:hAnsi="Times New Roman"/>
                <w:sz w:val="21"/>
              </w:rPr>
              <w:t>β</w:t>
            </w:r>
            <w:r>
              <w:rPr>
                <w:rFonts w:ascii="Times New Roman" w:eastAsia="宋体" w:hAnsi="Times New Roman"/>
                <w:sz w:val="21"/>
              </w:rPr>
              <w:t>=0.38</w:t>
            </w:r>
            <w:r>
              <w:rPr>
                <w:rFonts w:ascii="Times New Roman" w:eastAsia="宋体" w:hAnsi="Times New Roman" w:cs="宋体"/>
                <w:sz w:val="21"/>
              </w:rPr>
              <w:t>）、自主性（</w:t>
            </w:r>
            <w:r>
              <w:rPr>
                <w:rFonts w:ascii="Times New Roman" w:eastAsia="宋体" w:hAnsi="Times New Roman"/>
                <w:sz w:val="21"/>
              </w:rPr>
              <w:t>β</w:t>
            </w:r>
            <w:r>
              <w:rPr>
                <w:rFonts w:ascii="Times New Roman" w:eastAsia="宋体" w:hAnsi="Times New Roman"/>
                <w:sz w:val="21"/>
              </w:rPr>
              <w:t>=0.31</w:t>
            </w:r>
            <w:r>
              <w:rPr>
                <w:rFonts w:ascii="Times New Roman" w:eastAsia="宋体" w:hAnsi="Times New Roman" w:cs="宋体"/>
                <w:sz w:val="21"/>
              </w:rPr>
              <w:t>）显著正向影响用户感知价值，识别问题识别准确性、智能解决能力为核心影响因素</w:t>
            </w:r>
          </w:p>
          <w:p w14:paraId="1A0BC337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研究价值：发现用户智能体验起关键中介作用，感知增强维度贡献率</w:t>
            </w:r>
            <w:r>
              <w:rPr>
                <w:rFonts w:ascii="Times New Roman" w:eastAsia="宋体" w:hAnsi="Times New Roman"/>
                <w:sz w:val="21"/>
              </w:rPr>
              <w:t>63%</w:t>
            </w:r>
            <w:r>
              <w:rPr>
                <w:rFonts w:ascii="Times New Roman" w:eastAsia="宋体" w:hAnsi="Times New Roman" w:cs="宋体"/>
                <w:sz w:val="21"/>
              </w:rPr>
              <w:t>；高复杂度场景下信任阈值提高</w:t>
            </w:r>
            <w:r>
              <w:rPr>
                <w:rFonts w:ascii="Times New Roman" w:eastAsia="宋体" w:hAnsi="Times New Roman"/>
                <w:sz w:val="21"/>
              </w:rPr>
              <w:t>32%</w:t>
            </w:r>
            <w:r>
              <w:rPr>
                <w:rFonts w:ascii="Times New Roman" w:eastAsia="宋体" w:hAnsi="Times New Roman" w:cs="宋体"/>
                <w:sz w:val="21"/>
              </w:rPr>
              <w:t>，为电商</w:t>
            </w:r>
            <w:r>
              <w:rPr>
                <w:rFonts w:ascii="Times New Roman" w:eastAsia="宋体" w:hAnsi="Times New Roman"/>
                <w:sz w:val="21"/>
              </w:rPr>
              <w:t>AI</w:t>
            </w:r>
            <w:r>
              <w:rPr>
                <w:rFonts w:ascii="Times New Roman" w:eastAsia="宋体" w:hAnsi="Times New Roman" w:cs="宋体"/>
                <w:sz w:val="21"/>
              </w:rPr>
              <w:t>客服优化提供参考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7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7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1187A0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全流程实操：以账套主管角色，对模拟箱包贸易企业独立完成采购→到货→销售→出库→库存调拨→盘点→存货核算→收付款凭证全流程操作</w:t>
            </w:r>
          </w:p>
          <w:p w14:paraId="568CE196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逻辑梳理：梳理采购、销售、库存等模块间的数据流转与单据关联逻辑，理解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供应链业务标准化运作机制</w:t>
            </w:r>
          </w:p>
        </w:tc>
      </w:tr>
      <w:tr w:rsidR="00074B26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70" w:lineRule="atLeast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7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7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7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7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材料统筹：统筹</w:t>
            </w:r>
            <w:r>
              <w:rPr>
                <w:rFonts w:ascii="Times New Roman" w:eastAsia="宋体" w:hAnsi="Times New Roman"/>
                <w:sz w:val="21"/>
              </w:rPr>
              <w:t>200+</w:t>
            </w:r>
            <w:r>
              <w:rPr>
                <w:rFonts w:ascii="Times New Roman" w:eastAsia="宋体" w:hAnsi="Times New Roman" w:cs="宋体"/>
                <w:sz w:val="21"/>
              </w:rPr>
              <w:t>份学员申报材料全流程管理，用</w:t>
            </w:r>
            <w:r>
              <w:rPr>
                <w:rFonts w:ascii="Times New Roman" w:eastAsia="宋体" w:hAnsi="Times New Roman"/>
                <w:sz w:val="21"/>
              </w:rPr>
              <w:t>Excel</w:t>
            </w:r>
            <w:r>
              <w:rPr>
                <w:rFonts w:ascii="Times New Roman" w:eastAsia="宋体" w:hAnsi="Times New Roman" w:cs="宋体"/>
                <w:sz w:val="21"/>
              </w:rPr>
              <w:t>搭建分类电子台账，建立“录入</w:t>
            </w:r>
            <w:r>
              <w:rPr>
                <w:rFonts w:ascii="Times New Roman" w:eastAsia="宋体" w:hAnsi="Times New Roman"/>
                <w:sz w:val="21"/>
              </w:rPr>
              <w:t>-</w:t>
            </w:r>
            <w:r>
              <w:rPr>
                <w:rFonts w:ascii="Times New Roman" w:eastAsia="宋体" w:hAnsi="Times New Roman" w:cs="宋体"/>
                <w:sz w:val="21"/>
              </w:rPr>
              <w:t>核对</w:t>
            </w:r>
            <w:r>
              <w:rPr>
                <w:rFonts w:ascii="Times New Roman" w:eastAsia="宋体" w:hAnsi="Times New Roman"/>
                <w:sz w:val="21"/>
              </w:rPr>
              <w:t>-</w:t>
            </w:r>
            <w:r>
              <w:rPr>
                <w:rFonts w:ascii="Times New Roman" w:eastAsia="宋体" w:hAnsi="Times New Roman" w:cs="宋体"/>
                <w:sz w:val="21"/>
              </w:rPr>
              <w:t>提交”三级校验机制，实现材料零差错提交</w:t>
            </w:r>
          </w:p>
          <w:p w14:paraId="0BF571FC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流程优化：梳理并标准化资料审核与报批流程，建立可检索的文档归档体系，提升后期材料调取效率</w:t>
            </w:r>
          </w:p>
          <w:p w14:paraId="62228585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协同对接：对接各部门同步项目推进进度，按月汇总执行数据形成工作小结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7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7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7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7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7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需求预测：依据销售消耗规律提醒仓库解冻备货、同步门店补货需求，降低物料损耗与缺货风险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BF4C70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77777777" w:rsidR="00BF4C70" w:rsidRPr="00BF4C70" w:rsidRDefault="00030FBF" w:rsidP="00CC255E">
            <w:pPr>
              <w:spacing w:line="270" w:lineRule="atLeast"/>
              <w:rPr>
                <w:rFonts w:ascii="Times New Roman" w:eastAsia="宋体" w:hAnsi="Times New Roman" w:cs="宋体" w:hint="default"/>
                <w:b/>
                <w:bCs/>
              </w:rPr>
            </w:pPr>
            <w:r>
              <w:rPr>
                <w:rFonts w:ascii="Times New Roman" w:hAnsi="Times New Roman" w:eastAsia="宋体"/>
                <w:sz w:val="21"/>
                <w:szCs w:val="21"/>
                <w:b w:val="1"/>
              </w:rPr>
              <w:t xml:space="preserve">校园经历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7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7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7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>
            <w:r>
              <w:rPr>
                <w:rFonts w:ascii="Times New Roman" w:hAnsi="Times New Roman" w:eastAsia="宋体"/>
                <w:sz w:val="21"/>
                <w:szCs w:val="21"/>
              </w:rPr>
              <w:t xml:space="preserve">物资统筹：统筹院级活动物资申领、出入库登记与台账记录，按需调度物料，保障活动后勤落地</w:t>
            </w:r>
          </w:p>
          <w:p>
            <w:r>
              <w:rPr>
                <w:rFonts w:ascii="Times New Roman" w:hAnsi="Times New Roman" w:eastAsia="宋体"/>
                <w:sz w:val="21"/>
                <w:szCs w:val="21"/>
              </w:rPr>
              <w:t xml:space="preserve">会务支持：完成活动会务支持，包括通知下发、现场秩序维护、物料布置等</w:t>
            </w:r>
          </w:p>
          <w:p>
            <w:r>
              <w:rPr>
                <w:rFonts w:ascii="Times New Roman" w:hAnsi="Times New Roman" w:eastAsia="宋体"/>
                <w:sz w:val="21"/>
                <w:szCs w:val="21"/>
              </w:rPr>
              <w:t xml:space="preserve"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7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  <w:gridCol w:w="29"/>
      </w:tblGrid>
      <w:tr w:rsidR="00074B26" w:rsidRPr="00BF4C70" w14:paraId="1199C8CB" w14:textId="77777777" w:rsidTr="00C91F6D">
        <w:trPr>
          <w:gridAfter w:val="1"/>
          <w:wAfter w:w="29" w:type="dxa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7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7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系统：</w:t>
            </w:r>
            <w:r>
              <w:rPr>
                <w:rFonts w:ascii="Times New Roman" w:eastAsia="宋体" w:hAnsi="Times New Roman" w:cs="宋体"/>
                <w:sz w:val="21"/>
              </w:rPr>
              <w:t>用友</w:t>
            </w:r>
            <w:r>
              <w:rPr>
                <w:rFonts w:ascii="Times New Roman" w:eastAsia="宋体" w:hAnsi="Times New Roman"/>
                <w:sz w:val="21"/>
              </w:rPr>
              <w:t>U8+</w:t>
            </w:r>
            <w:r>
              <w:rPr>
                <w:rFonts w:ascii="Times New Roman" w:eastAsia="宋体" w:hAnsi="Times New Roman" w:cs="宋体"/>
                <w:sz w:val="21"/>
              </w:rPr>
              <w:t>（采购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销售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库存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存货核算全流程操作）</w:t>
            </w:r>
          </w:p>
          <w:p w14:paraId="20FC67A0" w14:textId="77777777" w:rsidR="007B19D1" w:rsidRPr="007B19D1" w:rsidRDefault="007B19D1" w:rsidP="007B19D1">
            <w:pPr>
              <w:spacing w:line="27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数据工具：</w:t>
            </w:r>
            <w:r>
              <w:rPr>
                <w:rFonts w:ascii="Times New Roman" w:eastAsia="宋体" w:hAnsi="Times New Roman"/>
                <w:sz w:val="21"/>
              </w:rPr>
              <w:t>Excel</w:t>
            </w:r>
            <w:r>
              <w:rPr>
                <w:rFonts w:ascii="Times New Roman" w:eastAsia="宋体" w:hAnsi="Times New Roman" w:cs="宋体"/>
                <w:sz w:val="21"/>
              </w:rPr>
              <w:t>（数据透视表、</w:t>
            </w:r>
            <w:r>
              <w:rPr>
                <w:rFonts w:ascii="Times New Roman" w:eastAsia="宋体" w:hAnsi="Times New Roman"/>
                <w:sz w:val="21"/>
              </w:rPr>
              <w:t>VLOOKUP</w:t>
            </w:r>
            <w:r>
              <w:rPr>
                <w:rFonts w:ascii="Times New Roman" w:eastAsia="宋体" w:hAnsi="Times New Roman" w:cs="宋体"/>
                <w:sz w:val="21"/>
              </w:rPr>
              <w:t>、函数）、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pandas</w:t>
            </w:r>
            <w:r>
              <w:rPr>
                <w:rFonts w:ascii="Times New Roman" w:eastAsia="宋体" w:hAnsi="Times New Roman" w:cs="宋体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matplotlib</w:t>
            </w:r>
            <w:r>
              <w:rPr>
                <w:rFonts w:ascii="Times New Roman" w:eastAsia="宋体" w:hAnsi="Times New Roman" w:cs="宋体"/>
                <w:sz w:val="21"/>
              </w:rPr>
              <w:t>）、</w:t>
            </w:r>
            <w:r>
              <w:rPr>
                <w:rFonts w:ascii="Times New Roman" w:eastAsia="宋体" w:hAnsi="Times New Roman"/>
                <w:sz w:val="21"/>
              </w:rPr>
              <w:t>R</w:t>
            </w:r>
            <w:r>
              <w:rPr>
                <w:rFonts w:ascii="Times New Roman" w:eastAsia="宋体" w:hAnsi="Times New Roman" w:cs="宋体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SPSS</w:t>
            </w:r>
          </w:p>
          <w:p w14:paraId="0E202BF0" w14:textId="77777777" w:rsidR="007B19D1" w:rsidRPr="007B19D1" w:rsidRDefault="007B19D1" w:rsidP="007B19D1">
            <w:pPr>
              <w:spacing w:line="27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>
              <w:rPr>
                <w:rFonts w:ascii="Times New Roman" w:eastAsia="宋体" w:hAnsi="Times New Roman"/>
                <w:sz w:val="21"/>
              </w:rPr>
              <w:t>CET-4</w:t>
            </w:r>
            <w:r>
              <w:rPr>
                <w:rFonts w:ascii="Times New Roman" w:eastAsia="宋体" w:hAnsi="Times New Roman" w:cs="宋体"/>
                <w:sz w:val="21"/>
              </w:rPr>
              <w:t>，可阅读英文专业资料与基础商务沟通</w:t>
            </w:r>
          </w:p>
          <w:p w14:paraId="03423C41" w14:textId="77777777" w:rsidR="007B19D1" w:rsidRPr="007B19D1" w:rsidRDefault="007B19D1" w:rsidP="007B19D1">
            <w:pPr>
              <w:spacing w:line="27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通用能力：</w:t>
            </w:r>
            <w:r>
              <w:rPr>
                <w:rFonts w:ascii="Times New Roman" w:eastAsia="宋体" w:hAnsi="Times New Roman" w:cs="宋体"/>
                <w:sz w:val="21"/>
              </w:rPr>
              <w:t>台账搭建与文档管理、跨部门沟通对接、流程梳理与标准化</w:t>
            </w:r>
          </w:p>
        </w:tc>
      </w:tr>
    </w:tbl>
    <w:p w14:paraId="53B8C26D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ADFFB" w14:textId="77777777" w:rsidR="00EE1F24" w:rsidRDefault="00EE1F24" w:rsidP="00984AF5">
      <w:pPr>
        <w:rPr>
          <w:rFonts w:hint="default"/>
        </w:rPr>
      </w:pPr>
      <w:r>
        <w:separator/>
      </w:r>
    </w:p>
  </w:endnote>
  <w:endnote w:type="continuationSeparator" w:id="0">
    <w:p w14:paraId="598AA459" w14:textId="77777777" w:rsidR="00EE1F24" w:rsidRDefault="00EE1F24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E9D24" w14:textId="77777777" w:rsidR="00EE1F24" w:rsidRDefault="00EE1F24" w:rsidP="00984AF5">
      <w:pPr>
        <w:rPr>
          <w:rFonts w:hint="default"/>
        </w:rPr>
      </w:pPr>
      <w:r>
        <w:separator/>
      </w:r>
    </w:p>
  </w:footnote>
  <w:footnote w:type="continuationSeparator" w:id="0">
    <w:p w14:paraId="1A25124B" w14:textId="77777777" w:rsidR="00EE1F24" w:rsidRDefault="00EE1F24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91F6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784</Words>
  <Characters>950</Characters>
  <Application>Microsoft Office Word</Application>
  <DocSecurity>0</DocSecurity>
  <PresentationFormat/>
  <Lines>52</Lines>
  <Paragraphs>55</Paragraphs>
  <Slides>0</Slides>
  <Notes>0</Notes>
  <HiddenSlides>0</HiddenSlides>
  <MMClips>0</MMClips>
  <ScaleCrop>true</ScaleCrop>
  <Manager/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4</cp:revision>
  <cp:lastPrinted>2026-08-27T17:07:00Z</cp:lastPrinted>
  <dcterms:created xsi:type="dcterms:W3CDTF">2026-08-26T23:14:00Z</dcterms:created>
  <dcterms:modified xsi:type="dcterms:W3CDTF">2026-08-27T17:08:00Z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