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 w:before="0" w:after="0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 w:before="0" w:after="0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 w:before="0" w:after="0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 w:before="0" w:after="0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proofErr w:type="gramEnd"/>
            <w:r>
              <w:rPr>
                <w:rFonts w:eastAsia="等线"/>
                <w:sz w:val="21"/>
              </w:rPr>
              <w:t xml:space="preserve">  </w:t>
            </w:r>
            <w:proofErr w:type="gramStart"/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>  </w:t>
            </w:r>
            <w:proofErr w:type="gramStart"/>
            <w:r>
              <w:rPr>
                <w:rFonts w:ascii="宋体" w:eastAsia="宋体" w:hAnsi="宋体"/>
                <w:sz w:val="21"/>
              </w:rPr>
              <w:t xml:space="preserve">共青团员  </w:t>
            </w:r>
            <w:r>
              <w:rPr>
                <w:rFonts w:ascii="宋体" w:eastAsia="宋体" w:hAnsi="宋体"/>
                <w:b/>
                <w:sz w:val="21"/>
              </w:rPr>
              <w:t>|</w:t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7777777" w:rsidR="003D2FE7" w:rsidRPr="003D2FE7" w:rsidRDefault="003D2FE7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求职意向：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供应链数据分析实习生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个人优势：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供应链数据分析：独立完成选址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路径双层优化模型，用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完成模型求解，模型测算运营成本降低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；数据全流程能力：掌握</w:t>
            </w:r>
            <w:r>
              <w:rPr>
                <w:rFonts w:eastAsia="宋体" w:ascii="Times New Roman" w:hAnsi="Times New Roman"/>
                <w:sz w:val="21"/>
              </w:rPr>
              <w:t xml:space="preserve">Python/R/SPSS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，累计处理</w:t>
            </w:r>
            <w:r>
              <w:rPr>
                <w:rFonts w:eastAsia="宋体" w:ascii="Times New Roman" w:hAnsi="Times New Roman"/>
                <w:sz w:val="21"/>
              </w:rPr>
              <w:t xml:space="preserve">4.5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万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条业务数据与</w:t>
            </w:r>
            <w:r>
              <w:rPr>
                <w:rFonts w:eastAsia="宋体" w:ascii="Times New Roman" w:hAnsi="Times New Roman"/>
                <w:sz w:val="21"/>
              </w:rPr>
              <w:t xml:space="preserve">328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份问卷，能独立完成清洗→建模→可视化→结论输出全流程；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系统实操：用友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sz w:val="21"/>
              </w:rPr>
              <w:t xml:space="preserve">采购到付款全流程操作，理解供应链系统数据流转逻辑，可快速上手</w:t>
            </w:r>
            <w:r>
              <w:rPr>
                <w:rFonts w:eastAsia="宋体" w:ascii="Times New Roman" w:hAnsi="Times New Roman"/>
                <w:sz w:val="21"/>
              </w:rPr>
              <w:t xml:space="preserve">SAP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；细致严谨：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份材料三级校验零差错，匹配数据分析岗对数据准确性的高要求</w:t>
            </w:r>
          </w:p>
        </w:tc>
      </w:tr>
    </w:tbl>
    <w:p w14:paraId="0D8F5EE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 w:before="0" w:after="0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 w:before="0" w:after="0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 w:before="0" w:after="0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 w:before="0" w:after="0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 w:before="0" w:after="0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核心课程：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供应链建模与仿真、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供应链管理综合实验、供应链资源规划、统计学、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程序设计、大数据管理与分析、物流管理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 w:before="0" w:after="0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荣誉奖励：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山东大学</w:t>
            </w:r>
            <w:r>
              <w:rPr>
                <w:rFonts w:eastAsia="宋体" w:ascii="Times New Roman" w:hAnsi="Times New Roman"/>
                <w:sz w:val="21"/>
              </w:rPr>
              <w:t xml:space="preserve">2024</w:t>
            </w:r>
            <w:r>
              <w:rPr>
                <w:rFonts w:ascii="Times New Roman" w:eastAsia="宋体" w:hAnsi="Times New Roman" w:cs="宋体"/>
                <w:sz w:val="21"/>
              </w:rPr>
              <w:t xml:space="preserve">—</w:t>
            </w:r>
            <w:r>
              <w:rPr>
                <w:rFonts w:eastAsia="宋体" w:ascii="Times New Roman" w:hAnsi="Times New Roman"/>
                <w:sz w:val="21"/>
              </w:rPr>
              <w:t xml:space="preserve">2025</w:t>
            </w:r>
            <w:r>
              <w:rPr>
                <w:rFonts w:ascii="Times New Roman" w:eastAsia="宋体" w:hAnsi="Times New Roman" w:cs="宋体"/>
                <w:sz w:val="21"/>
              </w:rPr>
              <w:t xml:space="preserve">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针对济南历下区老龄化小区自提点布局零散问题，构建选址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路径双层优化模型，将年龄分层服务半径与电梯等待时间纳入目标函数；基于</w:t>
            </w:r>
            <w:r>
              <w:rPr>
                <w:rFonts w:eastAsia="宋体" w:ascii="Times New Roman" w:hAnsi="Times New Roman"/>
                <w:sz w:val="21"/>
              </w:rPr>
              <w:t xml:space="preserve">15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个候选点、日均</w:t>
            </w:r>
            <w:r>
              <w:rPr>
                <w:rFonts w:eastAsia="宋体" w:ascii="Times New Roman" w:hAnsi="Times New Roman"/>
                <w:sz w:val="21"/>
              </w:rPr>
              <w:t xml:space="preserve">345</w:t>
            </w:r>
            <w:r>
              <w:rPr>
                <w:rFonts w:ascii="Times New Roman" w:eastAsia="宋体" w:hAnsi="Times New Roman" w:cs="宋体"/>
                <w:sz w:val="21"/>
              </w:rPr>
              <w:t xml:space="preserve">单真实数据，用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完成求解，提出</w:t>
            </w:r>
            <w:r>
              <w:rPr>
                <w:rFonts w:eastAsia="宋体" w:ascii="Times New Roman" w:hAnsi="Times New Roman"/>
                <w:sz w:val="21"/>
              </w:rPr>
              <w:t xml:space="preserve">"2</w:t>
            </w:r>
            <w:r>
              <w:rPr>
                <w:rFonts w:ascii="Times New Roman" w:eastAsia="宋体" w:hAnsi="Times New Roman" w:cs="宋体"/>
                <w:sz w:val="21"/>
              </w:rPr>
              <w:t xml:space="preserve">核心点</w:t>
            </w:r>
            <w:r>
              <w:rPr>
                <w:rFonts w:eastAsia="宋体" w:ascii="Times New Roman" w:hAnsi="Times New Roman"/>
                <w:sz w:val="21"/>
              </w:rPr>
              <w:t xml:space="preserve">+4</w:t>
            </w:r>
            <w:r>
              <w:rPr>
                <w:rFonts w:ascii="Times New Roman" w:eastAsia="宋体" w:hAnsi="Times New Roman" w:cs="宋体"/>
                <w:sz w:val="21"/>
              </w:rPr>
              <w:t xml:space="preserve">动态临时点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弹性布局方案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模型测算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：总成本降低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，老年覆盖率</w:t>
            </w:r>
            <w:r>
              <w:rPr>
                <w:rFonts w:eastAsia="宋体" w:ascii="Times New Roman" w:hAnsi="Times New Roman"/>
                <w:sz w:val="21"/>
              </w:rPr>
              <w:t xml:space="preserve">53.4%</w:t>
            </w:r>
            <w:r>
              <w:rPr>
                <w:rFonts w:ascii="Times New Roman" w:eastAsia="宋体" w:hAnsi="Times New Roman" w:cs="宋体"/>
                <w:sz w:val="21"/>
              </w:rPr>
              <w:t xml:space="preserve">→</w:t>
            </w:r>
            <w:r>
              <w:rPr>
                <w:rFonts w:eastAsia="宋体" w:ascii="Times New Roman" w:hAnsi="Times New Roman"/>
                <w:sz w:val="21"/>
              </w:rPr>
              <w:t xml:space="preserve">87.3%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，配送时长缩短</w:t>
            </w:r>
            <w:r>
              <w:rPr>
                <w:rFonts w:eastAsia="宋体" w:ascii="Times New Roman" w:hAnsi="Times New Roman"/>
                <w:sz w:val="21"/>
              </w:rPr>
              <w:t xml:space="preserve">22.3%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，覆盖平衡性指数</w:t>
            </w:r>
            <w:r>
              <w:rPr>
                <w:rFonts w:eastAsia="宋体" w:ascii="Times New Roman" w:hAnsi="Times New Roman"/>
                <w:sz w:val="21"/>
              </w:rPr>
              <w:t xml:space="preserve">0.88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银行电话营销客户响应行为分析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45211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条葡萄牙银行真实营销数据，用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完成缺失值与异常值清洗，对年龄、职业、营销频次等字段做多维度分层统计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独立绘制帕累托图、相关性热力图、订阅转化率瀑布图，通过多维度统计呈现客户群体响应差异，识别关键影响变量，为客户分群与营销资源分配提供数据支撑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生成式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在电商场景中的应用机制研究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2025.10-2025.12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TAM</w:t>
            </w:r>
            <w:r>
              <w:rPr>
                <w:rFonts w:ascii="Times New Roman" w:eastAsia="宋体" w:hAnsi="Times New Roman" w:cs="宋体"/>
                <w:sz w:val="21"/>
              </w:rPr>
              <w:t xml:space="preserve">模型设计</w:t>
            </w:r>
            <w:r>
              <w:rPr>
                <w:rFonts w:eastAsia="宋体" w:ascii="Times New Roman" w:hAnsi="Times New Roman"/>
                <w:sz w:val="21"/>
              </w:rPr>
              <w:t xml:space="preserve">7</w:t>
            </w:r>
            <w:r>
              <w:rPr>
                <w:rFonts w:ascii="Times New Roman" w:eastAsia="宋体" w:hAnsi="Times New Roman" w:cs="宋体"/>
                <w:sz w:val="21"/>
              </w:rPr>
              <w:t xml:space="preserve">点李克特量表问卷，回收</w:t>
            </w:r>
            <w:r>
              <w:rPr>
                <w:rFonts w:eastAsia="宋体" w:ascii="Times New Roman" w:hAnsi="Times New Roman"/>
                <w:sz w:val="21"/>
              </w:rPr>
              <w:t xml:space="preserve">328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份有效样本，用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 w:cs="宋体"/>
                <w:sz w:val="21"/>
              </w:rPr>
              <w:t xml:space="preserve">和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完成统计分析；验证交互性（</w:t>
            </w:r>
            <w:r>
              <w:rPr>
                <w:rFonts w:eastAsia="宋体" w:ascii="Times New Roman" w:hAnsi="Times New Roman"/>
                <w:sz w:val="21"/>
              </w:rPr>
              <w:t xml:space="preserve">β=0.42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）、个性化（</w:t>
            </w:r>
            <w:r>
              <w:rPr>
                <w:rFonts w:eastAsia="宋体" w:ascii="Times New Roman" w:hAnsi="Times New Roman"/>
                <w:sz w:val="21"/>
              </w:rPr>
              <w:t xml:space="preserve">β=0.38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）、自主性（</w:t>
            </w:r>
            <w:r>
              <w:rPr>
                <w:rFonts w:eastAsia="宋体" w:ascii="Times New Roman" w:hAnsi="Times New Roman"/>
                <w:sz w:val="21"/>
              </w:rPr>
              <w:t xml:space="preserve">β=0.31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）显著正向影响用户感知价值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发现用户智能体验起关键中介作用，感知增强维度贡献率</w:t>
            </w:r>
            <w:r>
              <w:rPr>
                <w:rFonts w:eastAsia="宋体" w:ascii="Times New Roman" w:hAnsi="Times New Roman"/>
                <w:sz w:val="21"/>
              </w:rPr>
              <w:t xml:space="preserve">63%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；高复杂度场景下信任阈值提高</w:t>
            </w:r>
            <w:r>
              <w:rPr>
                <w:rFonts w:eastAsia="宋体" w:ascii="Times New Roman" w:hAnsi="Times New Roman"/>
                <w:sz w:val="21"/>
              </w:rPr>
              <w:t xml:space="preserve">32%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，为电商</w:t>
            </w:r>
            <w:r>
              <w:rPr>
                <w:rFonts w:eastAsia="宋体" w:ascii="Times New Roman" w:hAnsi="Times New Roman"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客服优化提供参考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以账套主管角色，以模拟箱包贸易企业为对象，独立完成采购订单→到货入库→销售订单→发货出库→库存调拨→盘点→存货核算→收付款凭证全流程实操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梳理采购、销售、库存等模块间的数据流转与单据关联逻辑，理解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系统供应链业务标准化运作机制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 w:before="0" w:after="0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2026.04 - 2026.07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统筹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份学员申报材料全流程管理，用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搭建分类电子台账，建立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录入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核对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提交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三级校验机制，实现材料零差错提交</w:t>
            </w:r>
          </w:p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对接各部门同步项目推进进度，按月汇总执行数据形成工作小结，梳理并标准化资料审核与报批流程</w:t>
            </w:r>
          </w:p>
        </w:tc>
      </w:tr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落实门店原辅料日盘与效期管理流程，每日核对食材有效期并打印失效单据，根据消耗规律提醒仓库解冻备货，降低物料损耗与缺货风险</w:t>
            </w:r>
          </w:p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规范物料分区摆放与仓储器具整理，核对交接班出库单据，保持库存账实一致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 w:before="0" w:after="0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 w:before="0" w:after="0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 xml:space="preserve"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 w:before="0" w:after="0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数据工具：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</w:t>
            </w:r>
            <w:r>
              <w:rPr>
                <w:rFonts w:eastAsia="宋体" w:ascii="Times New Roman" w:hAnsi="Times New Roman"/>
                <w:sz w:val="21"/>
              </w:rPr>
              <w:t xml:space="preserve">pandas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matplotlib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）、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（数据透视表、</w:t>
            </w:r>
            <w:r>
              <w:rPr>
                <w:rFonts w:eastAsia="宋体" w:ascii="Times New Roman" w:hAnsi="Times New Roman"/>
                <w:sz w:val="21"/>
              </w:rPr>
              <w:t xml:space="preserve">VLOOKUP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、函数、图表可视化）</w:t>
            </w:r>
          </w:p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系统：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（采购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销售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库存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存货核算全流程操作），可快速上手</w:t>
            </w:r>
            <w:r>
              <w:rPr>
                <w:rFonts w:eastAsia="宋体" w:ascii="Times New Roman" w:hAnsi="Times New Roman"/>
                <w:sz w:val="21"/>
              </w:rPr>
              <w:t xml:space="preserve">SAP</w:t>
            </w:r>
          </w:p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语言能力：</w:t>
            </w:r>
            <w:r>
              <w:rPr>
                <w:rFonts w:eastAsia="宋体" w:ascii="Times New Roman" w:hAnsi="Times New Roman"/>
                <w:sz w:val="21"/>
              </w:rPr>
              <w:t xml:space="preserve">CET-4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，可阅读英文专业资料与基础商务沟通</w:t>
            </w:r>
          </w:p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通用能力：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台账搭建与文档管理、跨部门沟通对接、流程梳理与标准化、数据驱动的问题分析</w:t>
            </w:r>
          </w:p>
        </w:tc>
      </w:tr>
    </w:tbl>
    <w:p w14:paraId="53B8C26D" w14:textId="77777777" w:rsidR="009D5B9F" w:rsidRPr="007452FC" w:rsidRDefault="009D5B9F">
      <w:pPr>
        <w:spacing w:line="290" w:lineRule="atLeast" w:before="0" w:after="0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7B714" w14:textId="77777777" w:rsidR="00007E8C" w:rsidRDefault="00007E8C" w:rsidP="00984AF5">
      <w:pPr>
        <w:rPr>
          <w:rFonts w:hint="default"/>
        </w:rPr>
      </w:pPr>
      <w:r>
        <w:separator/>
      </w:r>
    </w:p>
  </w:endnote>
  <w:endnote w:type="continuationSeparator" w:id="0">
    <w:p w14:paraId="4C4C4678" w14:textId="77777777" w:rsidR="00007E8C" w:rsidRDefault="00007E8C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EE182" w14:textId="77777777" w:rsidR="00007E8C" w:rsidRDefault="00007E8C" w:rsidP="00984AF5">
      <w:pPr>
        <w:rPr>
          <w:rFonts w:hint="default"/>
        </w:rPr>
      </w:pPr>
      <w:r>
        <w:separator/>
      </w:r>
    </w:p>
  </w:footnote>
  <w:footnote w:type="continuationSeparator" w:id="0">
    <w:p w14:paraId="7F3000AD" w14:textId="77777777" w:rsidR="00007E8C" w:rsidRDefault="00007E8C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916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12</cp:revision>
  <cp:lastPrinted>2026-08-27T17:07:00Z</cp:lastPrinted>
  <dcterms:created xsi:type="dcterms:W3CDTF">2026-08-26T23:14:00Z</dcterms:created>
  <dcterms:modified xsi:type="dcterms:W3CDTF">2026-08-28T16:56:00Z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