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6DF67">
      <w:pPr>
        <w:spacing w:after="156"/>
        <w:ind w:firstLine="0" w:firstLineChars="0"/>
        <w:jc w:val="left"/>
      </w:pPr>
    </w:p>
    <w:p w14:paraId="1A24BE83">
      <w:pPr>
        <w:spacing w:after="156"/>
        <w:ind w:firstLine="0" w:firstLineChars="0"/>
        <w:jc w:val="center"/>
      </w:pPr>
    </w:p>
    <w:p w14:paraId="61B3511C">
      <w:pPr>
        <w:spacing w:after="156"/>
        <w:ind w:firstLine="0" w:firstLineChars="0"/>
      </w:pPr>
    </w:p>
    <w:p w14:paraId="7F873ACB">
      <w:pPr>
        <w:spacing w:after="156"/>
        <w:ind w:firstLine="0" w:firstLineChars="0"/>
        <w:jc w:val="center"/>
      </w:pPr>
    </w:p>
    <w:p w14:paraId="7A28F850">
      <w:pPr>
        <w:spacing w:before="312" w:beforeLines="100" w:after="312" w:afterLines="100"/>
        <w:ind w:firstLine="0" w:firstLineChars="0"/>
        <w:jc w:val="center"/>
        <w:rPr>
          <w:rFonts w:hint="eastAsia" w:ascii="黑体" w:hAnsi="黑体" w:eastAsia="黑体"/>
          <w:b/>
          <w:bCs/>
          <w:sz w:val="48"/>
          <w:szCs w:val="48"/>
        </w:rPr>
      </w:pPr>
      <w:r>
        <w:rPr>
          <w:rFonts w:ascii="黑体" w:hAnsi="黑体" w:eastAsia="黑体"/>
          <w:b/>
          <w:bCs/>
          <w:sz w:val="48"/>
          <w:szCs w:val="48"/>
        </w:rPr>
        <w:t>银行电话营销</w:t>
      </w:r>
    </w:p>
    <w:p w14:paraId="297EE42F">
      <w:pPr>
        <w:spacing w:before="312" w:beforeLines="100" w:after="312" w:afterLines="100"/>
        <w:ind w:firstLine="0" w:firstLineChars="0"/>
        <w:jc w:val="center"/>
        <w:rPr>
          <w:rFonts w:hint="eastAsia" w:ascii="黑体" w:hAnsi="黑体" w:eastAsia="黑体"/>
          <w:b/>
          <w:bCs/>
          <w:sz w:val="48"/>
          <w:szCs w:val="48"/>
        </w:rPr>
      </w:pPr>
      <w:r>
        <w:rPr>
          <w:rFonts w:ascii="黑体" w:hAnsi="黑体" w:eastAsia="黑体"/>
          <w:b/>
          <w:bCs/>
          <w:sz w:val="48"/>
          <w:szCs w:val="48"/>
        </w:rPr>
        <w:t xml:space="preserve">客户响应行为的探索性分析 </w:t>
      </w:r>
    </w:p>
    <w:p w14:paraId="1E1B43C5">
      <w:pPr>
        <w:spacing w:before="312" w:beforeLines="100" w:after="312" w:afterLines="100"/>
        <w:ind w:firstLine="0" w:firstLineChars="0"/>
        <w:jc w:val="center"/>
        <w:rPr>
          <w:rFonts w:hint="eastAsia" w:ascii="黑体" w:hAnsi="黑体" w:eastAsia="黑体"/>
          <w:b/>
          <w:bCs/>
          <w:sz w:val="36"/>
          <w:szCs w:val="36"/>
        </w:rPr>
      </w:pPr>
      <w:r>
        <w:rPr>
          <w:rFonts w:ascii="黑体" w:hAnsi="黑体" w:eastAsia="黑体"/>
          <w:b/>
          <w:bCs/>
          <w:sz w:val="36"/>
          <w:szCs w:val="36"/>
        </w:rPr>
        <w:t>——基于数据挖掘的视角</w:t>
      </w:r>
    </w:p>
    <w:p w14:paraId="53D3B7CD">
      <w:pPr>
        <w:spacing w:after="156"/>
        <w:ind w:firstLine="0" w:firstLineChars="0"/>
      </w:pPr>
    </w:p>
    <w:p w14:paraId="1AD19D85">
      <w:pPr>
        <w:spacing w:after="156"/>
        <w:ind w:firstLine="0" w:firstLineChars="0"/>
      </w:pPr>
    </w:p>
    <w:p w14:paraId="4F22802D">
      <w:pPr>
        <w:spacing w:after="156"/>
        <w:ind w:firstLine="0" w:firstLineChars="0"/>
      </w:pPr>
    </w:p>
    <w:p w14:paraId="799C278B">
      <w:pPr>
        <w:spacing w:after="156"/>
        <w:ind w:firstLine="2608" w:firstLineChars="866"/>
        <w:rPr>
          <w:sz w:val="30"/>
          <w:szCs w:val="30"/>
        </w:rPr>
      </w:pPr>
      <w:r>
        <w:rPr>
          <w:rFonts w:ascii="黑体" w:hAnsi="黑体" w:eastAsia="黑体"/>
          <w:b/>
          <w:bCs/>
          <w:sz w:val="30"/>
          <w:szCs w:val="30"/>
        </w:rPr>
        <w:t>姓名：</w:t>
      </w:r>
      <w:r>
        <w:rPr>
          <w:rFonts w:hint="eastAsia" w:ascii="楷体" w:hAnsi="楷体" w:eastAsia="楷体"/>
          <w:sz w:val="30"/>
          <w:szCs w:val="30"/>
        </w:rPr>
        <w:t>文雪</w:t>
      </w:r>
    </w:p>
    <w:p w14:paraId="76A60098">
      <w:pPr>
        <w:spacing w:after="156"/>
        <w:ind w:firstLine="2608" w:firstLineChars="866"/>
        <w:rPr>
          <w:sz w:val="30"/>
          <w:szCs w:val="30"/>
        </w:rPr>
      </w:pPr>
      <w:r>
        <w:rPr>
          <w:rFonts w:ascii="黑体" w:hAnsi="黑体" w:eastAsia="黑体"/>
          <w:b/>
          <w:bCs/>
          <w:sz w:val="30"/>
          <w:szCs w:val="30"/>
        </w:rPr>
        <w:t>学号：</w:t>
      </w:r>
      <w:r>
        <w:rPr>
          <w:rFonts w:hint="eastAsia" w:ascii="楷体" w:hAnsi="楷体" w:eastAsia="楷体"/>
          <w:sz w:val="30"/>
          <w:szCs w:val="30"/>
        </w:rPr>
        <w:t>202218271084</w:t>
      </w:r>
    </w:p>
    <w:p w14:paraId="5971C639">
      <w:pPr>
        <w:spacing w:after="156"/>
        <w:ind w:firstLine="2608" w:firstLineChars="866"/>
        <w:rPr>
          <w:sz w:val="30"/>
          <w:szCs w:val="30"/>
        </w:rPr>
      </w:pPr>
      <w:r>
        <w:rPr>
          <w:rFonts w:hint="eastAsia" w:ascii="黑体" w:hAnsi="黑体" w:eastAsia="黑体"/>
          <w:b/>
          <w:bCs/>
          <w:sz w:val="30"/>
          <w:szCs w:val="30"/>
        </w:rPr>
        <w:t>班级：</w:t>
      </w:r>
      <w:r>
        <w:rPr>
          <w:rFonts w:hint="eastAsia" w:ascii="楷体" w:hAnsi="楷体" w:eastAsia="楷体"/>
          <w:sz w:val="30"/>
          <w:szCs w:val="30"/>
        </w:rPr>
        <w:t>供应链管理23</w:t>
      </w:r>
    </w:p>
    <w:p w14:paraId="7CCE4E0C">
      <w:pPr>
        <w:spacing w:after="156"/>
        <w:ind w:firstLine="2608" w:firstLineChars="866"/>
        <w:rPr>
          <w:sz w:val="30"/>
          <w:szCs w:val="30"/>
        </w:rPr>
      </w:pPr>
      <w:r>
        <w:rPr>
          <w:rFonts w:ascii="黑体" w:hAnsi="黑体" w:eastAsia="黑体"/>
          <w:b/>
          <w:bCs/>
          <w:sz w:val="30"/>
          <w:szCs w:val="30"/>
        </w:rPr>
        <w:t>课程名称：</w:t>
      </w:r>
      <w:r>
        <w:rPr>
          <w:rFonts w:hint="eastAsia" w:ascii="楷体" w:hAnsi="楷体" w:eastAsia="楷体"/>
          <w:sz w:val="30"/>
          <w:szCs w:val="30"/>
        </w:rPr>
        <w:t>数据科学与大数据分析</w:t>
      </w:r>
    </w:p>
    <w:p w14:paraId="656E41D7">
      <w:pPr>
        <w:spacing w:after="156"/>
        <w:ind w:firstLine="0" w:firstLineChars="0"/>
        <w:rPr>
          <w:b/>
          <w:bCs/>
        </w:rPr>
      </w:pPr>
    </w:p>
    <w:p w14:paraId="15B4A2E5">
      <w:pPr>
        <w:spacing w:after="156"/>
        <w:ind w:firstLine="0" w:firstLineChars="0"/>
        <w:rPr>
          <w:b/>
          <w:bCs/>
        </w:rPr>
      </w:pPr>
    </w:p>
    <w:p w14:paraId="65780DD7">
      <w:pPr>
        <w:spacing w:after="156"/>
        <w:ind w:firstLine="0" w:firstLineChars="0"/>
        <w:jc w:val="center"/>
        <w:rPr>
          <w:b/>
          <w:bCs/>
        </w:rPr>
      </w:pPr>
    </w:p>
    <w:p w14:paraId="2B3F1418">
      <w:pPr>
        <w:spacing w:after="156"/>
        <w:ind w:firstLine="0" w:firstLineChars="0"/>
        <w:jc w:val="center"/>
        <w:rPr>
          <w:b/>
          <w:bCs/>
        </w:rPr>
      </w:pPr>
    </w:p>
    <w:p w14:paraId="6145D32B">
      <w:pPr>
        <w:spacing w:after="156" w:line="288" w:lineRule="auto"/>
        <w:ind w:firstLine="0" w:firstLineChars="0"/>
        <w:jc w:val="center"/>
        <w:rPr>
          <w:b/>
          <w:bCs/>
        </w:rPr>
      </w:pPr>
      <w:r>
        <w:rPr>
          <w:rFonts w:hint="eastAsia"/>
          <w:b/>
          <w:bCs/>
        </w:rPr>
        <w:t>2026年5月</w:t>
      </w:r>
    </w:p>
    <w:p w14:paraId="449501DE">
      <w:pPr>
        <w:widowControl/>
        <w:snapToGrid/>
        <w:spacing w:after="160" w:afterLines="0" w:line="278" w:lineRule="auto"/>
        <w:ind w:firstLine="0" w:firstLineChars="0"/>
        <w:rPr>
          <w:rFonts w:hint="eastAsia" w:ascii="黑体" w:hAnsi="黑体" w:eastAsia="黑体"/>
          <w:sz w:val="36"/>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1CDAF332">
      <w:pPr>
        <w:widowControl/>
        <w:snapToGrid/>
        <w:spacing w:after="160" w:afterLines="0" w:line="278" w:lineRule="auto"/>
        <w:ind w:firstLine="0" w:firstLineChars="0"/>
        <w:jc w:val="center"/>
        <w:rPr>
          <w:rFonts w:hint="eastAsia" w:ascii="黑体" w:hAnsi="黑体" w:eastAsia="黑体"/>
          <w:sz w:val="36"/>
          <w:szCs w:val="32"/>
        </w:rPr>
      </w:pPr>
      <w:r>
        <w:rPr>
          <w:rFonts w:hint="eastAsia" w:ascii="黑体" w:hAnsi="黑体" w:eastAsia="黑体"/>
          <w:sz w:val="36"/>
          <w:szCs w:val="32"/>
        </w:rPr>
        <w:t>目录</w:t>
      </w:r>
    </w:p>
    <w:p w14:paraId="6710574F">
      <w:pPr>
        <w:pStyle w:val="14"/>
        <w:tabs>
          <w:tab w:val="right" w:leader="dot" w:pos="8296"/>
        </w:tabs>
        <w:spacing w:after="156"/>
        <w:rPr>
          <w:rFonts w:hint="eastAsia" w:asciiTheme="minorHAnsi" w:hAnsiTheme="minorHAnsi" w:eastAsiaTheme="minorEastAsia"/>
          <w:b w:val="0"/>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"_Toc229391181" </w:instrText>
      </w:r>
      <w:r>
        <w:fldChar w:fldCharType="separate"/>
      </w:r>
      <w:r>
        <w:rPr>
          <w:rStyle w:val="21"/>
        </w:rPr>
        <w:t>摘要</w:t>
      </w:r>
      <w:r>
        <w:rPr>
          <w:rFonts w:hint="eastAsia"/>
        </w:rPr>
        <w:tab/>
      </w:r>
      <w:r>
        <w:rPr>
          <w:rFonts w:hint="eastAsia"/>
        </w:rPr>
        <w:fldChar w:fldCharType="begin"/>
      </w:r>
      <w:r>
        <w:rPr>
          <w:rFonts w:hint="eastAsia"/>
        </w:rPr>
        <w:instrText xml:space="preserve"> </w:instrText>
      </w:r>
      <w:r>
        <w:instrText xml:space="preserve">PAGEREF _Toc229391181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8F25D11">
      <w:pPr>
        <w:pStyle w:val="14"/>
        <w:tabs>
          <w:tab w:val="right" w:leader="dot" w:pos="8296"/>
        </w:tabs>
        <w:spacing w:after="156"/>
        <w:rPr>
          <w:rFonts w:hint="eastAsia" w:asciiTheme="minorHAnsi" w:hAnsiTheme="minorHAnsi" w:eastAsiaTheme="minorEastAsia"/>
          <w:b w:val="0"/>
          <w:sz w:val="22"/>
          <w:szCs w:val="24"/>
          <w14:ligatures w14:val="standardContextual"/>
        </w:rPr>
      </w:pPr>
      <w:r>
        <w:fldChar w:fldCharType="begin"/>
      </w:r>
      <w:r>
        <w:instrText xml:space="preserve"> HYPERLINK \l "_Toc229391182" </w:instrText>
      </w:r>
      <w:r>
        <w:fldChar w:fldCharType="separate"/>
      </w:r>
      <w:r>
        <w:rPr>
          <w:rStyle w:val="21"/>
        </w:rPr>
        <w:t>1 引言</w:t>
      </w:r>
      <w:r>
        <w:rPr>
          <w:rFonts w:hint="eastAsia"/>
        </w:rPr>
        <w:tab/>
      </w:r>
      <w:r>
        <w:rPr>
          <w:rFonts w:hint="eastAsia"/>
        </w:rPr>
        <w:fldChar w:fldCharType="begin"/>
      </w:r>
      <w:r>
        <w:rPr>
          <w:rFonts w:hint="eastAsia"/>
        </w:rPr>
        <w:instrText xml:space="preserve"> </w:instrText>
      </w:r>
      <w:r>
        <w:instrText xml:space="preserve">PAGEREF _Toc229391182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4E9608C">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"_Toc229391183" </w:instrText>
      </w:r>
      <w:r>
        <w:fldChar w:fldCharType="separate"/>
      </w:r>
      <w:r>
        <w:rPr>
          <w:rStyle w:val="21"/>
        </w:rPr>
        <w:t>1.1 研究背景与问题</w:t>
      </w:r>
      <w:r>
        <w:rPr>
          <w:rFonts w:hint="eastAsia"/>
        </w:rPr>
        <w:tab/>
      </w:r>
      <w:r>
        <w:rPr>
          <w:rFonts w:hint="eastAsia"/>
        </w:rPr>
        <w:fldChar w:fldCharType="begin"/>
      </w:r>
      <w:r>
        <w:rPr>
          <w:rFonts w:hint="eastAsia"/>
        </w:rPr>
        <w:instrText xml:space="preserve"> </w:instrText>
      </w:r>
      <w:r>
        <w:instrText xml:space="preserve">PAGEREF _Toc229391183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82988A5">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"_Toc229391184" </w:instrText>
      </w:r>
      <w:r>
        <w:fldChar w:fldCharType="separate"/>
      </w:r>
      <w:r>
        <w:rPr>
          <w:rStyle w:val="21"/>
        </w:rPr>
        <w:t>1.2 研究目的</w:t>
      </w:r>
      <w:r>
        <w:rPr>
          <w:rFonts w:hint="eastAsia"/>
        </w:rPr>
        <w:tab/>
      </w:r>
      <w:r>
        <w:rPr>
          <w:rFonts w:hint="eastAsia"/>
        </w:rPr>
        <w:fldChar w:fldCharType="begin"/>
      </w:r>
      <w:r>
        <w:rPr>
          <w:rFonts w:hint="eastAsia"/>
        </w:rPr>
        <w:instrText xml:space="preserve"> </w:instrText>
      </w:r>
      <w:r>
        <w:instrText xml:space="preserve">PAGEREF _Toc229391184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C6BD4BE">
      <w:pPr>
        <w:pStyle w:val="14"/>
        <w:tabs>
          <w:tab w:val="right" w:leader="dot" w:pos="8296"/>
        </w:tabs>
        <w:spacing w:after="156"/>
        <w:rPr>
          <w:rFonts w:hint="eastAsia" w:asciiTheme="minorHAnsi" w:hAnsiTheme="minorHAnsi" w:eastAsiaTheme="minorEastAsia"/>
          <w:b w:val="0"/>
          <w:sz w:val="22"/>
          <w:szCs w:val="24"/>
          <w14:ligatures w14:val="standardContextual"/>
        </w:rPr>
      </w:pPr>
      <w:r>
        <w:fldChar w:fldCharType="begin"/>
      </w:r>
      <w:r>
        <w:instrText xml:space="preserve"> HYPERLINK \l "_Toc229391185" </w:instrText>
      </w:r>
      <w:r>
        <w:fldChar w:fldCharType="separate"/>
      </w:r>
      <w:r>
        <w:rPr>
          <w:rStyle w:val="21"/>
        </w:rPr>
        <w:t>2 数据理解与数据准备</w:t>
      </w:r>
      <w:r>
        <w:rPr>
          <w:rFonts w:hint="eastAsia"/>
        </w:rPr>
        <w:tab/>
      </w:r>
      <w:r>
        <w:rPr>
          <w:rFonts w:hint="eastAsia"/>
        </w:rPr>
        <w:fldChar w:fldCharType="begin"/>
      </w:r>
      <w:r>
        <w:rPr>
          <w:rFonts w:hint="eastAsia"/>
        </w:rPr>
        <w:instrText xml:space="preserve"> </w:instrText>
      </w:r>
      <w:r>
        <w:instrText xml:space="preserve">PAGEREF _Toc229391185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FCD5CB6">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"_Toc229391186" </w:instrText>
      </w:r>
      <w:r>
        <w:fldChar w:fldCharType="separate"/>
      </w:r>
      <w:r>
        <w:rPr>
          <w:rStyle w:val="21"/>
        </w:rPr>
        <w:t>2.1 数据采集与来源说明</w:t>
      </w:r>
      <w:r>
        <w:rPr>
          <w:rFonts w:hint="eastAsia"/>
        </w:rPr>
        <w:tab/>
      </w:r>
      <w:r>
        <w:rPr>
          <w:rFonts w:hint="eastAsia"/>
        </w:rPr>
        <w:fldChar w:fldCharType="begin"/>
      </w:r>
      <w:r>
        <w:rPr>
          <w:rFonts w:hint="eastAsia"/>
        </w:rPr>
        <w:instrText xml:space="preserve"> </w:instrText>
      </w:r>
      <w:r>
        <w:instrText xml:space="preserve">PAGEREF _Toc229391186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46A63DE">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"_Toc229391187" </w:instrText>
      </w:r>
      <w:r>
        <w:fldChar w:fldCharType="separate"/>
      </w:r>
      <w:r>
        <w:rPr>
          <w:rStyle w:val="21"/>
        </w:rPr>
        <w:t>2.2 数据集概览</w:t>
      </w:r>
      <w:r>
        <w:rPr>
          <w:rFonts w:hint="eastAsia"/>
        </w:rPr>
        <w:tab/>
      </w:r>
      <w:r>
        <w:rPr>
          <w:rFonts w:hint="eastAsia"/>
        </w:rPr>
        <w:fldChar w:fldCharType="begin"/>
      </w:r>
      <w:r>
        <w:rPr>
          <w:rFonts w:hint="eastAsia"/>
        </w:rPr>
        <w:instrText xml:space="preserve"> </w:instrText>
      </w:r>
      <w:r>
        <w:instrText xml:space="preserve">PAGEREF _Toc229391187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0862CDE">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"_Toc229391188" </w:instrText>
      </w:r>
      <w:r>
        <w:fldChar w:fldCharType="separate"/>
      </w:r>
      <w:r>
        <w:rPr>
          <w:rStyle w:val="21"/>
        </w:rPr>
        <w:t>2.3</w:t>
      </w:r>
      <w:r>
        <w:rPr>
          <w:rStyle w:val="21"/>
          <w:bCs/>
        </w:rPr>
        <w:t>数据质量与初步探索</w:t>
      </w:r>
      <w:r>
        <w:rPr>
          <w:rFonts w:hint="eastAsia"/>
        </w:rPr>
        <w:tab/>
      </w:r>
      <w:r>
        <w:rPr>
          <w:rFonts w:hint="eastAsia"/>
        </w:rPr>
        <w:fldChar w:fldCharType="begin"/>
      </w:r>
      <w:r>
        <w:rPr>
          <w:rFonts w:hint="eastAsia"/>
        </w:rPr>
        <w:instrText xml:space="preserve"> </w:instrText>
      </w:r>
      <w:r>
        <w:instrText xml:space="preserve">PAGEREF _Toc229391188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67405BC">
      <w:pPr>
        <w:pStyle w:val="11"/>
        <w:tabs>
          <w:tab w:val="right" w:leader="dot" w:pos="8296"/>
        </w:tabs>
        <w:spacing w:after="156"/>
        <w:ind w:left="960"/>
        <w:rPr>
          <w:rFonts w:hint="eastAsia" w:asciiTheme="minorHAnsi" w:hAnsiTheme="minorHAnsi" w:eastAsiaTheme="minorEastAsia"/>
          <w:sz w:val="22"/>
          <w:szCs w:val="24"/>
          <w14:ligatures w14:val="standardContextual"/>
        </w:rPr>
      </w:pPr>
      <w:r>
        <w:fldChar w:fldCharType="begin"/>
      </w:r>
      <w:r>
        <w:instrText xml:space="preserve"> HYPERLINK \l "_Toc229391189" </w:instrText>
      </w:r>
      <w:r>
        <w:fldChar w:fldCharType="separate"/>
      </w:r>
      <w:r>
        <w:rPr>
          <w:rStyle w:val="21"/>
        </w:rPr>
        <w:t>2.3.1 缺失值检查</w:t>
      </w:r>
      <w:r>
        <w:rPr>
          <w:rFonts w:hint="eastAsia"/>
        </w:rPr>
        <w:tab/>
      </w:r>
      <w:r>
        <w:rPr>
          <w:rFonts w:hint="eastAsia"/>
        </w:rPr>
        <w:fldChar w:fldCharType="begin"/>
      </w:r>
      <w:r>
        <w:rPr>
          <w:rFonts w:hint="eastAsia"/>
        </w:rPr>
        <w:instrText xml:space="preserve"> </w:instrText>
      </w:r>
      <w:r>
        <w:instrText xml:space="preserve">PAGEREF _Toc229391189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C0CC2E8">
      <w:pPr>
        <w:pStyle w:val="11"/>
        <w:tabs>
          <w:tab w:val="right" w:leader="dot" w:pos="8296"/>
        </w:tabs>
        <w:spacing w:after="156"/>
        <w:ind w:left="960"/>
        <w:rPr>
          <w:rFonts w:hint="eastAsia" w:asciiTheme="minorHAnsi" w:hAnsiTheme="minorHAnsi" w:eastAsiaTheme="minorEastAsia"/>
          <w:sz w:val="22"/>
          <w:szCs w:val="24"/>
          <w14:ligatures w14:val="standardContextual"/>
        </w:rPr>
      </w:pPr>
      <w:r>
        <w:fldChar w:fldCharType="begin"/>
      </w:r>
      <w:r>
        <w:instrText xml:space="preserve"> HYPERLINK \l "_Toc229391190" </w:instrText>
      </w:r>
      <w:r>
        <w:fldChar w:fldCharType="separate"/>
      </w:r>
      <w:r>
        <w:rPr>
          <w:rStyle w:val="21"/>
        </w:rPr>
        <w:t>2.3.2 数值变量分布特征</w:t>
      </w:r>
      <w:r>
        <w:rPr>
          <w:rFonts w:hint="eastAsia"/>
        </w:rPr>
        <w:tab/>
      </w:r>
      <w:r>
        <w:rPr>
          <w:rFonts w:hint="eastAsia"/>
        </w:rPr>
        <w:fldChar w:fldCharType="begin"/>
      </w:r>
      <w:r>
        <w:rPr>
          <w:rFonts w:hint="eastAsia"/>
        </w:rPr>
        <w:instrText xml:space="preserve"> </w:instrText>
      </w:r>
      <w:r>
        <w:instrText xml:space="preserve">PAGEREF _Toc229391190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09E0E4F">
      <w:pPr>
        <w:pStyle w:val="11"/>
        <w:tabs>
          <w:tab w:val="right" w:leader="dot" w:pos="8296"/>
        </w:tabs>
        <w:spacing w:after="156"/>
        <w:ind w:left="960"/>
        <w:rPr>
          <w:rFonts w:hint="eastAsia" w:asciiTheme="minorHAnsi" w:hAnsiTheme="minorHAnsi" w:eastAsiaTheme="minorEastAsia"/>
          <w:sz w:val="22"/>
          <w:szCs w:val="24"/>
          <w14:ligatures w14:val="standardContextual"/>
        </w:rPr>
      </w:pPr>
      <w:r>
        <w:fldChar w:fldCharType="begin"/>
      </w:r>
      <w:r>
        <w:instrText xml:space="preserve"> HYPERLINK \l "_Toc229391191" </w:instrText>
      </w:r>
      <w:r>
        <w:fldChar w:fldCharType="separate"/>
      </w:r>
      <w:r>
        <w:rPr>
          <w:rStyle w:val="21"/>
        </w:rPr>
        <w:t>2.3.3 目标变量不平衡性分析</w:t>
      </w:r>
      <w:r>
        <w:rPr>
          <w:rFonts w:hint="eastAsia"/>
        </w:rPr>
        <w:tab/>
      </w:r>
      <w:r>
        <w:rPr>
          <w:rFonts w:hint="eastAsia"/>
        </w:rPr>
        <w:fldChar w:fldCharType="begin"/>
      </w:r>
      <w:r>
        <w:rPr>
          <w:rFonts w:hint="eastAsia"/>
        </w:rPr>
        <w:instrText xml:space="preserve"> </w:instrText>
      </w:r>
      <w:r>
        <w:instrText xml:space="preserve">PAGEREF _Toc229391191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A979FE0">
      <w:pPr>
        <w:pStyle w:val="11"/>
        <w:tabs>
          <w:tab w:val="right" w:leader="dot" w:pos="8296"/>
        </w:tabs>
        <w:spacing w:after="156"/>
        <w:ind w:left="960"/>
        <w:rPr>
          <w:rFonts w:hint="eastAsia" w:asciiTheme="minorHAnsi" w:hAnsiTheme="minorHAnsi" w:eastAsiaTheme="minorEastAsia"/>
          <w:sz w:val="22"/>
          <w:szCs w:val="24"/>
          <w14:ligatures w14:val="standardContextual"/>
        </w:rPr>
      </w:pPr>
      <w:r>
        <w:fldChar w:fldCharType="begin"/>
      </w:r>
      <w:r>
        <w:instrText xml:space="preserve"> HYPERLINK \l "_Toc229391192" </w:instrText>
      </w:r>
      <w:r>
        <w:fldChar w:fldCharType="separate"/>
      </w:r>
      <w:r>
        <w:rPr>
          <w:rStyle w:val="21"/>
        </w:rPr>
        <w:t>2.3.4 分类变量频数分布</w:t>
      </w:r>
      <w:r>
        <w:rPr>
          <w:rFonts w:hint="eastAsia"/>
        </w:rPr>
        <w:tab/>
      </w:r>
      <w:r>
        <w:rPr>
          <w:rFonts w:hint="eastAsia"/>
        </w:rPr>
        <w:fldChar w:fldCharType="begin"/>
      </w:r>
      <w:r>
        <w:rPr>
          <w:rFonts w:hint="eastAsia"/>
        </w:rPr>
        <w:instrText xml:space="preserve"> </w:instrText>
      </w:r>
      <w:r>
        <w:instrText xml:space="preserve">PAGEREF _Toc229391192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5DD308A">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"_Toc229391193" </w:instrText>
      </w:r>
      <w:r>
        <w:fldChar w:fldCharType="separate"/>
      </w:r>
      <w:r>
        <w:rPr>
          <w:rStyle w:val="21"/>
        </w:rPr>
        <w:t>2.4 数据预处理（R语言实现）</w:t>
      </w:r>
      <w:r>
        <w:rPr>
          <w:rFonts w:hint="eastAsia"/>
        </w:rPr>
        <w:tab/>
      </w:r>
      <w:r>
        <w:rPr>
          <w:rFonts w:hint="eastAsia"/>
        </w:rPr>
        <w:fldChar w:fldCharType="begin"/>
      </w:r>
      <w:r>
        <w:rPr>
          <w:rFonts w:hint="eastAsia"/>
        </w:rPr>
        <w:instrText xml:space="preserve"> </w:instrText>
      </w:r>
      <w:r>
        <w:instrText xml:space="preserve">PAGEREF _Toc229391193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19BED1D">
      <w:pPr>
        <w:pStyle w:val="11"/>
        <w:tabs>
          <w:tab w:val="right" w:leader="dot" w:pos="8296"/>
        </w:tabs>
        <w:spacing w:after="156"/>
        <w:ind w:left="960"/>
        <w:rPr>
          <w:rFonts w:hint="eastAsia" w:asciiTheme="minorHAnsi" w:hAnsiTheme="minorHAnsi" w:eastAsiaTheme="minorEastAsia"/>
          <w:sz w:val="22"/>
          <w:szCs w:val="24"/>
          <w14:ligatures w14:val="standardContextual"/>
        </w:rPr>
      </w:pPr>
      <w:r>
        <w:fldChar w:fldCharType="begin"/>
      </w:r>
      <w:r>
        <w:instrText xml:space="preserve"> HYPERLINK \l "_Toc229391194" </w:instrText>
      </w:r>
      <w:r>
        <w:fldChar w:fldCharType="separate"/>
      </w:r>
      <w:r>
        <w:rPr>
          <w:rStyle w:val="21"/>
        </w:rPr>
        <w:t>2.4.1 Step 1：读取数据与环境配置</w:t>
      </w:r>
      <w:r>
        <w:rPr>
          <w:rFonts w:hint="eastAsia"/>
        </w:rPr>
        <w:tab/>
      </w:r>
      <w:r>
        <w:rPr>
          <w:rFonts w:hint="eastAsia"/>
        </w:rPr>
        <w:fldChar w:fldCharType="begin"/>
      </w:r>
      <w:r>
        <w:rPr>
          <w:rFonts w:hint="eastAsia"/>
        </w:rPr>
        <w:instrText xml:space="preserve"> </w:instrText>
      </w:r>
      <w:r>
        <w:instrText xml:space="preserve">PAGEREF _Toc229391194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5E40FE1">
      <w:pPr>
        <w:pStyle w:val="11"/>
        <w:tabs>
          <w:tab w:val="right" w:leader="dot" w:pos="8296"/>
        </w:tabs>
        <w:spacing w:after="156"/>
        <w:ind w:left="960"/>
        <w:rPr>
          <w:rFonts w:hint="eastAsia" w:asciiTheme="minorHAnsi" w:hAnsiTheme="minorHAnsi" w:eastAsiaTheme="minorEastAsia"/>
          <w:sz w:val="22"/>
          <w:szCs w:val="24"/>
          <w14:ligatures w14:val="standardContextual"/>
        </w:rPr>
      </w:pPr>
      <w:r>
        <w:fldChar w:fldCharType="begin"/>
      </w:r>
      <w:r>
        <w:instrText xml:space="preserve"> HYPERLINK \l "_Toc229391195" </w:instrText>
      </w:r>
      <w:r>
        <w:fldChar w:fldCharType="separate"/>
      </w:r>
      <w:r>
        <w:rPr>
          <w:rStyle w:val="21"/>
        </w:rPr>
        <w:t xml:space="preserve">2.4.2 </w:t>
      </w:r>
      <w:r>
        <w:rPr>
          <w:rStyle w:val="21"/>
          <w:bCs/>
        </w:rPr>
        <w:t>Step 2：数据概览与清洗</w:t>
      </w:r>
      <w:r>
        <w:rPr>
          <w:rFonts w:hint="eastAsia"/>
        </w:rPr>
        <w:tab/>
      </w:r>
      <w:r>
        <w:rPr>
          <w:rFonts w:hint="eastAsia"/>
        </w:rPr>
        <w:fldChar w:fldCharType="begin"/>
      </w:r>
      <w:r>
        <w:rPr>
          <w:rFonts w:hint="eastAsia"/>
        </w:rPr>
        <w:instrText xml:space="preserve"> </w:instrText>
      </w:r>
      <w:r>
        <w:instrText xml:space="preserve">PAGEREF _Toc229391195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9421A3C">
      <w:pPr>
        <w:pStyle w:val="11"/>
        <w:tabs>
          <w:tab w:val="right" w:leader="dot" w:pos="8296"/>
        </w:tabs>
        <w:spacing w:after="156"/>
        <w:ind w:left="960"/>
        <w:rPr>
          <w:rFonts w:hint="eastAsia" w:asciiTheme="minorHAnsi" w:hAnsiTheme="minorHAnsi" w:eastAsiaTheme="minorEastAsia"/>
          <w:sz w:val="22"/>
          <w:szCs w:val="24"/>
          <w14:ligatures w14:val="standardContextual"/>
        </w:rPr>
      </w:pPr>
      <w:r>
        <w:fldChar w:fldCharType="begin"/>
      </w:r>
      <w:r>
        <w:instrText xml:space="preserve"> HYPERLINK \l "_Toc229391196" </w:instrText>
      </w:r>
      <w:r>
        <w:fldChar w:fldCharType="separate"/>
      </w:r>
      <w:r>
        <w:rPr>
          <w:rStyle w:val="21"/>
          <w:bCs/>
        </w:rPr>
        <w:t>2.4.3 Step 3：数据工程与变量衍生</w:t>
      </w:r>
      <w:r>
        <w:rPr>
          <w:rFonts w:hint="eastAsia"/>
        </w:rPr>
        <w:tab/>
      </w:r>
      <w:r>
        <w:rPr>
          <w:rFonts w:hint="eastAsia"/>
        </w:rPr>
        <w:fldChar w:fldCharType="begin"/>
      </w:r>
      <w:r>
        <w:rPr>
          <w:rFonts w:hint="eastAsia"/>
        </w:rPr>
        <w:instrText xml:space="preserve"> </w:instrText>
      </w:r>
      <w:r>
        <w:instrText xml:space="preserve">PAGEREF _Toc229391196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7F53986">
      <w:pPr>
        <w:pStyle w:val="14"/>
        <w:tabs>
          <w:tab w:val="right" w:leader="dot" w:pos="8296"/>
        </w:tabs>
        <w:spacing w:after="156"/>
        <w:rPr>
          <w:rFonts w:hint="eastAsia" w:asciiTheme="minorHAnsi" w:hAnsiTheme="minorHAnsi" w:eastAsiaTheme="minorEastAsia"/>
          <w:b w:val="0"/>
          <w:sz w:val="22"/>
          <w:szCs w:val="24"/>
          <w14:ligatures w14:val="standardContextual"/>
        </w:rPr>
      </w:pPr>
      <w:r>
        <w:fldChar w:fldCharType="begin"/>
      </w:r>
      <w:r>
        <w:instrText xml:space="preserve"> HYPERLINK \l "_Toc229391197" </w:instrText>
      </w:r>
      <w:r>
        <w:fldChar w:fldCharType="separate"/>
      </w:r>
      <w:r>
        <w:rPr>
          <w:rStyle w:val="21"/>
        </w:rPr>
        <w:t>3 探索性数据分析与可视化</w:t>
      </w:r>
      <w:r>
        <w:rPr>
          <w:rFonts w:hint="eastAsia"/>
        </w:rPr>
        <w:tab/>
      </w:r>
      <w:r>
        <w:rPr>
          <w:rFonts w:hint="eastAsia"/>
        </w:rPr>
        <w:fldChar w:fldCharType="begin"/>
      </w:r>
      <w:r>
        <w:rPr>
          <w:rFonts w:hint="eastAsia"/>
        </w:rPr>
        <w:instrText xml:space="preserve"> </w:instrText>
      </w:r>
      <w:r>
        <w:instrText xml:space="preserve">PAGEREF _Toc229391197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5ACBFB1">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"_Toc229391198" </w:instrText>
      </w:r>
      <w:r>
        <w:fldChar w:fldCharType="separate"/>
      </w:r>
      <w:r>
        <w:rPr>
          <w:rStyle w:val="21"/>
        </w:rPr>
        <w:t>3.1 帕累托分析：职业贡献度的“二八定律”</w:t>
      </w:r>
      <w:r>
        <w:rPr>
          <w:rFonts w:hint="eastAsia"/>
        </w:rPr>
        <w:tab/>
      </w:r>
      <w:r>
        <w:rPr>
          <w:rFonts w:hint="eastAsia"/>
        </w:rPr>
        <w:fldChar w:fldCharType="begin"/>
      </w:r>
      <w:r>
        <w:rPr>
          <w:rFonts w:hint="eastAsia"/>
        </w:rPr>
        <w:instrText xml:space="preserve"> </w:instrText>
      </w:r>
      <w:r>
        <w:instrText xml:space="preserve">PAGEREF _Toc229391198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F42C65D">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"_Toc229391199" </w:instrText>
      </w:r>
      <w:r>
        <w:fldChar w:fldCharType="separate"/>
      </w:r>
      <w:r>
        <w:rPr>
          <w:rStyle w:val="21"/>
        </w:rPr>
        <w:t>3.2 瀑布图分析：营销接触的边际效益递减</w:t>
      </w:r>
      <w:r>
        <w:rPr>
          <w:rFonts w:hint="eastAsia"/>
        </w:rPr>
        <w:tab/>
      </w:r>
      <w:r>
        <w:rPr>
          <w:rFonts w:hint="eastAsia"/>
        </w:rPr>
        <w:fldChar w:fldCharType="begin"/>
      </w:r>
      <w:r>
        <w:rPr>
          <w:rFonts w:hint="eastAsia"/>
        </w:rPr>
        <w:instrText xml:space="preserve"> </w:instrText>
      </w:r>
      <w:r>
        <w:instrText xml:space="preserve">PAGEREF _Toc229391199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FC0A831">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"_Toc229391200" </w:instrText>
      </w:r>
      <w:r>
        <w:fldChar w:fldCharType="separate"/>
      </w:r>
      <w:r>
        <w:rPr>
          <w:rStyle w:val="21"/>
        </w:rPr>
        <w:t>3.3 深度客户画像分析：年龄与教育水平</w:t>
      </w:r>
      <w:r>
        <w:rPr>
          <w:rFonts w:hint="eastAsia"/>
        </w:rPr>
        <w:tab/>
      </w:r>
      <w:r>
        <w:rPr>
          <w:rFonts w:hint="eastAsia"/>
        </w:rPr>
        <w:fldChar w:fldCharType="begin"/>
      </w:r>
      <w:r>
        <w:rPr>
          <w:rFonts w:hint="eastAsia"/>
        </w:rPr>
        <w:instrText xml:space="preserve"> </w:instrText>
      </w:r>
      <w:r>
        <w:instrText xml:space="preserve">PAGEREF _Toc229391200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D01216F">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"_Toc229391201" </w:instrText>
      </w:r>
      <w:r>
        <w:fldChar w:fldCharType="separate"/>
      </w:r>
      <w:r>
        <w:rPr>
          <w:rStyle w:val="21"/>
        </w:rPr>
        <w:t>3.4 变量相关性分析：热力图</w:t>
      </w:r>
      <w:r>
        <w:rPr>
          <w:rFonts w:hint="eastAsia"/>
        </w:rPr>
        <w:tab/>
      </w:r>
      <w:r>
        <w:rPr>
          <w:rFonts w:hint="eastAsia"/>
        </w:rPr>
        <w:fldChar w:fldCharType="begin"/>
      </w:r>
      <w:r>
        <w:rPr>
          <w:rFonts w:hint="eastAsia"/>
        </w:rPr>
        <w:instrText xml:space="preserve"> </w:instrText>
      </w:r>
      <w:r>
        <w:instrText xml:space="preserve">PAGEREF _Toc229391201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F6CA405">
      <w:pPr>
        <w:pStyle w:val="14"/>
        <w:tabs>
          <w:tab w:val="right" w:leader="dot" w:pos="8296"/>
        </w:tabs>
        <w:spacing w:after="156"/>
        <w:rPr>
          <w:rFonts w:hint="eastAsia" w:asciiTheme="minorHAnsi" w:hAnsiTheme="minorHAnsi" w:eastAsiaTheme="minorEastAsia"/>
          <w:b w:val="0"/>
          <w:sz w:val="22"/>
          <w:szCs w:val="24"/>
          <w14:ligatures w14:val="standardContextual"/>
        </w:rPr>
      </w:pPr>
      <w:r>
        <w:fldChar w:fldCharType="begin"/>
      </w:r>
      <w:r>
        <w:instrText xml:space="preserve"> HYPERLINK \l "_Toc229391202" </w:instrText>
      </w:r>
      <w:r>
        <w:fldChar w:fldCharType="separate"/>
      </w:r>
      <w:r>
        <w:rPr>
          <w:rStyle w:val="21"/>
        </w:rPr>
        <w:t>4  管理建议与结论</w:t>
      </w:r>
      <w:r>
        <w:rPr>
          <w:rFonts w:hint="eastAsia"/>
        </w:rPr>
        <w:tab/>
      </w:r>
      <w:r>
        <w:rPr>
          <w:rFonts w:hint="eastAsia"/>
        </w:rPr>
        <w:fldChar w:fldCharType="begin"/>
      </w:r>
      <w:r>
        <w:rPr>
          <w:rFonts w:hint="eastAsia"/>
        </w:rPr>
        <w:instrText xml:space="preserve"> </w:instrText>
      </w:r>
      <w:r>
        <w:instrText xml:space="preserve">PAGEREF _Toc229391202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5DD4807">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"_Toc229391203" </w:instrText>
      </w:r>
      <w:r>
        <w:fldChar w:fldCharType="separate"/>
      </w:r>
      <w:r>
        <w:rPr>
          <w:rStyle w:val="21"/>
        </w:rPr>
        <w:t>4.1 结论总结</w:t>
      </w:r>
      <w:r>
        <w:rPr>
          <w:rFonts w:hint="eastAsia"/>
        </w:rPr>
        <w:tab/>
      </w:r>
      <w:r>
        <w:rPr>
          <w:rFonts w:hint="eastAsia"/>
        </w:rPr>
        <w:fldChar w:fldCharType="begin"/>
      </w:r>
      <w:r>
        <w:rPr>
          <w:rFonts w:hint="eastAsia"/>
        </w:rPr>
        <w:instrText xml:space="preserve"> </w:instrText>
      </w:r>
      <w:r>
        <w:instrText xml:space="preserve">PAGEREF _Toc229391203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75212A2D">
      <w:pPr>
        <w:pStyle w:val="16"/>
        <w:tabs>
          <w:tab w:val="right" w:leader="dot" w:pos="8296"/>
        </w:tabs>
        <w:spacing w:after="156"/>
        <w:ind w:left="480"/>
        <w:rPr>
          <w:rFonts w:hint="eastAsia" w:asciiTheme="minorHAnsi" w:hAnsiTheme="minorHAnsi" w:eastAsiaTheme="minorEastAsia"/>
          <w:sz w:val="22"/>
          <w:szCs w:val="24"/>
          <w14:ligatures w14:val="standardContextual"/>
        </w:rPr>
      </w:pPr>
      <w:r>
        <w:fldChar w:fldCharType="begin"/>
      </w:r>
      <w:r>
        <w:instrText xml:space="preserve"> HYPERLINK \l "_Toc229391204" </w:instrText>
      </w:r>
      <w:r>
        <w:fldChar w:fldCharType="separate"/>
      </w:r>
      <w:r>
        <w:rPr>
          <w:rStyle w:val="21"/>
        </w:rPr>
        <w:t>4.2 营销策略建议</w:t>
      </w:r>
      <w:r>
        <w:rPr>
          <w:rFonts w:hint="eastAsia"/>
        </w:rPr>
        <w:tab/>
      </w:r>
      <w:r>
        <w:rPr>
          <w:rFonts w:hint="eastAsia"/>
        </w:rPr>
        <w:fldChar w:fldCharType="begin"/>
      </w:r>
      <w:r>
        <w:rPr>
          <w:rFonts w:hint="eastAsia"/>
        </w:rPr>
        <w:instrText xml:space="preserve"> </w:instrText>
      </w:r>
      <w:r>
        <w:instrText xml:space="preserve">PAGEREF _Toc229391204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145C074C">
      <w:pPr>
        <w:pStyle w:val="11"/>
        <w:tabs>
          <w:tab w:val="right" w:leader="dot" w:pos="8296"/>
        </w:tabs>
        <w:spacing w:after="156"/>
        <w:ind w:left="960"/>
        <w:rPr>
          <w:rFonts w:hint="eastAsia" w:asciiTheme="minorHAnsi" w:hAnsiTheme="minorHAnsi" w:eastAsiaTheme="minorEastAsia"/>
          <w:sz w:val="22"/>
          <w:szCs w:val="24"/>
          <w14:ligatures w14:val="standardContextual"/>
        </w:rPr>
      </w:pPr>
      <w:r>
        <w:fldChar w:fldCharType="begin"/>
      </w:r>
      <w:r>
        <w:instrText xml:space="preserve"> HYPERLINK \l "_Toc229391205" </w:instrText>
      </w:r>
      <w:r>
        <w:fldChar w:fldCharType="separate"/>
      </w:r>
      <w:r>
        <w:rPr>
          <w:rStyle w:val="21"/>
        </w:rPr>
        <w:t>4.2.1 实施分层营销，聚焦高价值客群</w:t>
      </w:r>
      <w:r>
        <w:rPr>
          <w:rFonts w:hint="eastAsia"/>
        </w:rPr>
        <w:tab/>
      </w:r>
      <w:r>
        <w:rPr>
          <w:rFonts w:hint="eastAsia"/>
        </w:rPr>
        <w:fldChar w:fldCharType="begin"/>
      </w:r>
      <w:r>
        <w:rPr>
          <w:rFonts w:hint="eastAsia"/>
        </w:rPr>
        <w:instrText xml:space="preserve"> </w:instrText>
      </w:r>
      <w:r>
        <w:instrText xml:space="preserve">PAGEREF _Toc229391205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990A755">
      <w:pPr>
        <w:pStyle w:val="11"/>
        <w:tabs>
          <w:tab w:val="right" w:leader="dot" w:pos="8296"/>
        </w:tabs>
        <w:spacing w:after="156"/>
        <w:ind w:left="960"/>
        <w:rPr>
          <w:rFonts w:hint="eastAsia" w:asciiTheme="minorHAnsi" w:hAnsiTheme="minorHAnsi" w:eastAsiaTheme="minorEastAsia"/>
          <w:sz w:val="22"/>
          <w:szCs w:val="24"/>
          <w14:ligatures w14:val="standardContextual"/>
        </w:rPr>
      </w:pPr>
      <w:r>
        <w:fldChar w:fldCharType="begin"/>
      </w:r>
      <w:r>
        <w:instrText xml:space="preserve"> HYPERLINK \l "_Toc229391206" </w:instrText>
      </w:r>
      <w:r>
        <w:fldChar w:fldCharType="separate"/>
      </w:r>
      <w:r>
        <w:rPr>
          <w:rStyle w:val="21"/>
        </w:rPr>
        <w:t>4.2.2 控制营销频次，建立骚扰预警机制</w:t>
      </w:r>
      <w:r>
        <w:rPr>
          <w:rFonts w:hint="eastAsia"/>
        </w:rPr>
        <w:tab/>
      </w:r>
      <w:r>
        <w:rPr>
          <w:rFonts w:hint="eastAsia"/>
        </w:rPr>
        <w:fldChar w:fldCharType="begin"/>
      </w:r>
      <w:r>
        <w:rPr>
          <w:rFonts w:hint="eastAsia"/>
        </w:rPr>
        <w:instrText xml:space="preserve"> </w:instrText>
      </w:r>
      <w:r>
        <w:instrText xml:space="preserve">PAGEREF _Toc229391206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D702E9D">
      <w:pPr>
        <w:pStyle w:val="11"/>
        <w:tabs>
          <w:tab w:val="right" w:leader="dot" w:pos="8296"/>
        </w:tabs>
        <w:spacing w:after="156"/>
        <w:ind w:left="960"/>
        <w:rPr>
          <w:rFonts w:hint="eastAsia" w:asciiTheme="minorHAnsi" w:hAnsiTheme="minorHAnsi" w:eastAsiaTheme="minorEastAsia"/>
          <w:sz w:val="22"/>
          <w:szCs w:val="24"/>
          <w14:ligatures w14:val="standardContextual"/>
        </w:rPr>
      </w:pPr>
      <w:r>
        <w:fldChar w:fldCharType="begin"/>
      </w:r>
      <w:r>
        <w:instrText xml:space="preserve"> HYPERLINK \l "_Toc229391207" </w:instrText>
      </w:r>
      <w:r>
        <w:fldChar w:fldCharType="separate"/>
      </w:r>
      <w:r>
        <w:rPr>
          <w:rStyle w:val="21"/>
        </w:rPr>
        <w:t>4.2.3 强化话术培训，提升单次通话质量</w:t>
      </w:r>
      <w:r>
        <w:rPr>
          <w:rFonts w:hint="eastAsia"/>
        </w:rPr>
        <w:tab/>
      </w:r>
      <w:r>
        <w:rPr>
          <w:rFonts w:hint="eastAsia"/>
        </w:rPr>
        <w:fldChar w:fldCharType="begin"/>
      </w:r>
      <w:r>
        <w:rPr>
          <w:rFonts w:hint="eastAsia"/>
        </w:rPr>
        <w:instrText xml:space="preserve"> </w:instrText>
      </w:r>
      <w:r>
        <w:instrText xml:space="preserve">PAGEREF _Toc229391207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43B9027E">
      <w:pPr>
        <w:pStyle w:val="14"/>
        <w:tabs>
          <w:tab w:val="right" w:leader="dot" w:pos="8296"/>
        </w:tabs>
        <w:spacing w:after="156"/>
        <w:rPr>
          <w:rFonts w:hint="eastAsia" w:asciiTheme="minorHAnsi" w:hAnsiTheme="minorHAnsi" w:eastAsiaTheme="minorEastAsia"/>
          <w:b w:val="0"/>
          <w:sz w:val="22"/>
          <w:szCs w:val="24"/>
          <w14:ligatures w14:val="standardContextual"/>
        </w:rPr>
      </w:pPr>
      <w:r>
        <w:fldChar w:fldCharType="begin"/>
      </w:r>
      <w:r>
        <w:instrText xml:space="preserve"> HYPERLINK \l "_Toc229391208" </w:instrText>
      </w:r>
      <w:r>
        <w:fldChar w:fldCharType="separate"/>
      </w:r>
      <w:r>
        <w:rPr>
          <w:rStyle w:val="21"/>
        </w:rPr>
        <w:t>参考文献</w:t>
      </w:r>
      <w:r>
        <w:rPr>
          <w:rFonts w:hint="eastAsia"/>
        </w:rPr>
        <w:tab/>
      </w:r>
      <w:r>
        <w:rPr>
          <w:rFonts w:hint="eastAsia"/>
        </w:rPr>
        <w:fldChar w:fldCharType="begin"/>
      </w:r>
      <w:r>
        <w:rPr>
          <w:rFonts w:hint="eastAsia"/>
        </w:rPr>
        <w:instrText xml:space="preserve"> </w:instrText>
      </w:r>
      <w:r>
        <w:instrText xml:space="preserve">PAGEREF _Toc229391208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3239605F">
      <w:pPr>
        <w:spacing w:after="156"/>
        <w:ind w:firstLine="480"/>
        <w:sectPr>
          <w:footerReference r:id="rId11" w:type="default"/>
          <w:pgSz w:w="11906" w:h="16838"/>
          <w:pgMar w:top="1440" w:right="1800" w:bottom="1440" w:left="1800" w:header="851" w:footer="992" w:gutter="0"/>
          <w:pgNumType w:fmt="upperRoman" w:start="1"/>
          <w:cols w:space="425" w:num="1"/>
          <w:docGrid w:type="lines" w:linePitch="312" w:charSpace="0"/>
        </w:sectPr>
      </w:pPr>
      <w:r>
        <w:fldChar w:fldCharType="end"/>
      </w:r>
    </w:p>
    <w:p w14:paraId="5C764784">
      <w:pPr>
        <w:pStyle w:val="2"/>
        <w:spacing w:before="249" w:after="156"/>
      </w:pPr>
      <w:bookmarkStart w:id="0" w:name="_Toc229391181"/>
      <w:r>
        <w:t>摘要</w:t>
      </w:r>
      <w:bookmarkEnd w:id="0"/>
    </w:p>
    <w:p w14:paraId="40A27483">
      <w:pPr>
        <w:spacing w:after="156"/>
        <w:ind w:firstLine="480"/>
      </w:pPr>
      <w:r>
        <w:t>在利率市场化和互联网金融的双重冲击下，商业银行的营销模式正从“广撒网”向“精准化”转型。本研究基于UCI公开的葡萄牙银行营销数据集（Bank Marketing），运用描述性与探索性数据分析方法，深入挖掘影响客户订阅定期存款的关键因素。通过绘制帕累托图、瀑布图、箱线图、热力图及客户画像分析，本研究发现：客户的职业属性、营销接触次数以及年龄结构对订阅行为存在显著的非线性影响。研究结论为商业银行优化电话营销策略、降低营销成本、提升高净值客户转化率提供了数据支持与决策依据。</w:t>
      </w:r>
    </w:p>
    <w:p w14:paraId="00777201">
      <w:pPr>
        <w:spacing w:after="156"/>
        <w:ind w:firstLine="482"/>
      </w:pPr>
      <w:r>
        <w:rPr>
          <w:rFonts w:ascii="黑体" w:hAnsi="黑体" w:eastAsia="黑体"/>
          <w:b/>
          <w:bCs/>
        </w:rPr>
        <w:t>关键词</w:t>
      </w:r>
      <w:r>
        <w:rPr>
          <w:rFonts w:ascii="黑体" w:hAnsi="黑体" w:eastAsia="黑体"/>
        </w:rPr>
        <w:t>：</w:t>
      </w:r>
      <w:r>
        <w:t>商业银行；精准营销；探索性数据分析；帕累托分析；客户细分</w:t>
      </w:r>
    </w:p>
    <w:p w14:paraId="6E25F63A">
      <w:pPr>
        <w:widowControl/>
        <w:spacing w:after="156" w:line="278" w:lineRule="auto"/>
        <w:ind w:firstLine="0" w:firstLineChars="0"/>
        <w:rPr>
          <w:rFonts w:eastAsia="黑体" w:cstheme="majorBidi"/>
          <w:b/>
          <w:color w:val="000000" w:themeColor="text1"/>
          <w:sz w:val="36"/>
          <w:szCs w:val="48"/>
          <w14:textFill>
            <w14:solidFill>
              <w14:schemeClr w14:val="tx1"/>
            </w14:solidFill>
          </w14:textFill>
        </w:rPr>
      </w:pPr>
      <w:r>
        <w:br w:type="page"/>
      </w:r>
    </w:p>
    <w:p w14:paraId="015D3874">
      <w:pPr>
        <w:pStyle w:val="2"/>
        <w:spacing w:before="249" w:after="156"/>
      </w:pPr>
      <w:bookmarkStart w:id="1" w:name="_Toc229391182"/>
      <w:r>
        <w:t xml:space="preserve">1 </w:t>
      </w:r>
      <w:r>
        <w:rPr>
          <w:rFonts w:hint="eastAsia"/>
        </w:rPr>
        <w:t>引言</w:t>
      </w:r>
      <w:bookmarkEnd w:id="1"/>
    </w:p>
    <w:p w14:paraId="704B746F">
      <w:pPr>
        <w:pStyle w:val="3"/>
        <w:spacing w:before="249" w:after="156"/>
      </w:pPr>
      <w:bookmarkStart w:id="2" w:name="_Toc229391183"/>
      <w:r>
        <w:t>1.1 研究背景与问题</w:t>
      </w:r>
      <w:bookmarkEnd w:id="2"/>
    </w:p>
    <w:p w14:paraId="449E0D29">
      <w:pPr>
        <w:spacing w:after="156"/>
        <w:ind w:firstLine="480"/>
      </w:pPr>
      <w:r>
        <w:t>随着金融科技的迅速发展，传统的银行网点营销逐渐暴露出成本高、转化率低的问题。电话营销作为银行零售业务的重要渠道，面临着客户挂断率高、投诉风险大的挑战</w:t>
      </w:r>
      <w:r>
        <w:rPr>
          <w:vertAlign w:val="superscript"/>
        </w:rPr>
        <w:fldChar w:fldCharType="begin"/>
      </w:r>
      <w:r>
        <w:rPr>
          <w:vertAlign w:val="superscript"/>
        </w:rPr>
        <w:instrText xml:space="preserve"> REF _Ref229352044 \r \h  \* MERGEFORMAT </w:instrText>
      </w:r>
      <w:r>
        <w:rPr>
          <w:vertAlign w:val="superscript"/>
        </w:rPr>
        <w:fldChar w:fldCharType="separate"/>
      </w:r>
      <w:r>
        <w:rPr>
          <w:vertAlign w:val="superscript"/>
        </w:rPr>
        <w:t>[1]</w:t>
      </w:r>
      <w:r>
        <w:rPr>
          <w:vertAlign w:val="superscript"/>
        </w:rPr>
        <w:fldChar w:fldCharType="end"/>
      </w:r>
      <w:r>
        <w:t>。如何从海量的历史营销数据中识别高响应客户群体，成为了管理科学领域亟待解决的问题。因此，基于数据驱动的客户响应行为分析，对于银行精准识别目标客群、优化营销资源配置、降低无效外呼成本、提升整体营销效率，具有重要的实践意义。</w:t>
      </w:r>
    </w:p>
    <w:p w14:paraId="7E6BC7FD">
      <w:pPr>
        <w:pStyle w:val="3"/>
        <w:spacing w:before="249" w:after="156"/>
      </w:pPr>
      <w:bookmarkStart w:id="3" w:name="_Toc229391184"/>
      <w:r>
        <w:t xml:space="preserve">1.2 </w:t>
      </w:r>
      <w:r>
        <w:rPr>
          <w:rFonts w:hint="eastAsia"/>
        </w:rPr>
        <w:t>研究目的</w:t>
      </w:r>
      <w:bookmarkEnd w:id="3"/>
    </w:p>
    <w:p w14:paraId="2D768156">
      <w:pPr>
        <w:spacing w:after="156"/>
        <w:ind w:firstLine="480"/>
      </w:pPr>
      <w:r>
        <w:rPr>
          <w:rFonts w:hint="eastAsia"/>
        </w:rPr>
        <w:t>本研究旨在利用R语言对银行电话营销数据进行深度的探索性分析（EDA），具体围绕以下三个核心管理问题展开：</w:t>
      </w:r>
    </w:p>
    <w:p w14:paraId="30788F11">
      <w:pPr>
        <w:spacing w:after="156"/>
        <w:ind w:firstLine="480"/>
      </w:pPr>
      <w:r>
        <w:rPr>
          <w:rFonts w:hint="eastAsia"/>
        </w:rPr>
        <w:t>研究问题1：职业画像甄别——不同职业背景的客户对定期存款的响应是否存在显著差异？哪些职业群体是贡献订阅量的“核心力量”？识别高价值职业客群，有助于银行在有限营销预算下实现精准的资源投放。</w:t>
      </w:r>
    </w:p>
    <w:p w14:paraId="76502ACD">
      <w:pPr>
        <w:spacing w:after="156"/>
        <w:ind w:firstLine="480"/>
      </w:pPr>
      <w:r>
        <w:rPr>
          <w:rFonts w:hint="eastAsia"/>
        </w:rPr>
        <w:t>研究问题2：营销疲劳阈*——营销过程中的“骚扰效应”何时开始显现？是否存在一个既能最大化转化率、又能最小化客户反感的“最优接触次数”？确定合理的营销频次上限，对于降低客户投诉率、优化客户体验具有重要意义。</w:t>
      </w:r>
    </w:p>
    <w:p w14:paraId="2F4EEC25">
      <w:pPr>
        <w:spacing w:after="156"/>
        <w:ind w:firstLine="480"/>
      </w:pPr>
      <w:r>
        <w:rPr>
          <w:rFonts w:hint="eastAsia"/>
        </w:rPr>
        <w:t>研究问题3：客群异质性检验——不同年龄及教育水平的客户在理财决策行为上是否存在显著差异？哪类人群更倾向于接受定期存款产品？刻画高响应客户的画像特征，能够为银行制定差异化的产品推荐策略提供数据支撑。</w:t>
      </w:r>
    </w:p>
    <w:p w14:paraId="2D561C7B">
      <w:pPr>
        <w:widowControl/>
        <w:snapToGrid/>
        <w:spacing w:after="160" w:afterLines="0" w:line="278" w:lineRule="auto"/>
        <w:ind w:firstLine="0" w:firstLineChars="0"/>
        <w:jc w:val="left"/>
        <w:rPr>
          <w:rFonts w:eastAsia="黑体" w:cstheme="majorBidi"/>
          <w:b/>
          <w:color w:val="000000" w:themeColor="text1"/>
          <w:sz w:val="36"/>
          <w:szCs w:val="48"/>
          <w14:textFill>
            <w14:solidFill>
              <w14:schemeClr w14:val="tx1"/>
            </w14:solidFill>
          </w14:textFill>
        </w:rPr>
      </w:pPr>
      <w:r>
        <w:br w:type="page"/>
      </w:r>
    </w:p>
    <w:p w14:paraId="3838112A">
      <w:pPr>
        <w:pStyle w:val="2"/>
        <w:spacing w:before="249" w:after="156"/>
      </w:pPr>
      <w:bookmarkStart w:id="4" w:name="_Toc229391185"/>
      <w:r>
        <w:t>2 数据理解与数据准备</w:t>
      </w:r>
      <w:bookmarkEnd w:id="4"/>
    </w:p>
    <w:p w14:paraId="59F73AF1">
      <w:pPr>
        <w:pStyle w:val="3"/>
        <w:spacing w:before="249" w:after="156"/>
      </w:pPr>
      <w:bookmarkStart w:id="5" w:name="_Toc229391186"/>
      <w:r>
        <w:t>2.1 数据采集与来源说明</w:t>
      </w:r>
      <w:bookmarkEnd w:id="5"/>
    </w:p>
    <w:p w14:paraId="3D186B31">
      <w:pPr>
        <w:spacing w:after="156"/>
        <w:ind w:firstLine="480"/>
      </w:pPr>
      <w:r>
        <w:rPr>
          <w:rFonts w:hint="eastAsia"/>
        </w:rPr>
        <w:t>本研究所用数据来源于UCI机器学习库中的 "Bank Marketing" 数据集。该数据集记录了葡萄牙某银行机构2008年至2013年的实际电话营销活动，是银行营销领域数据挖掘研究的经典案例。</w:t>
      </w:r>
    </w:p>
    <w:p w14:paraId="4581AE86">
      <w:pPr>
        <w:spacing w:after="156"/>
        <w:ind w:firstLine="480"/>
      </w:pPr>
      <w:r>
        <w:rPr>
          <w:rFonts w:hint="eastAsia"/>
        </w:rPr>
        <w:t>数据收集过程：原始数据由该银行通过其电话营销系统自动记录并汇总，采集时间跨度为2008年1月至2013年12月，覆盖该银行在此期间开展的所有电话营销活动。数据以CSV格式存档于UCI机器学习库，官方存档地址为：https://archive.ics.uci.edu/static/public/222/bank+marketing.zip。本研究通过该地址直接下载压缩包（bank+marketing.zip），解压后获得核心数据文件bank-full.csv。该过程无需注册或申请权限，具备良好的可复现性。</w:t>
      </w:r>
    </w:p>
    <w:p w14:paraId="3349A74A">
      <w:pPr>
        <w:spacing w:after="156"/>
        <w:ind w:firstLine="480"/>
      </w:pPr>
      <w:r>
        <w:rPr>
          <w:rFonts w:hint="eastAsia"/>
        </w:rPr>
        <w:t>下载的数据文件共计45,211条有效记录，包含17个字段，记录了客户的年龄、职业、婚姻状况、教育水平、账户余额、历史营销接触次数、通话时长以及是否订阅定期存款等关键信息。</w:t>
      </w:r>
    </w:p>
    <w:p w14:paraId="2BA38F6F">
      <w:pPr>
        <w:pStyle w:val="3"/>
        <w:spacing w:before="249" w:after="156"/>
      </w:pPr>
      <w:bookmarkStart w:id="6" w:name="_Toc229391187"/>
      <w:r>
        <w:t>2.2 数据集概览</w:t>
      </w:r>
      <w:bookmarkEnd w:id="6"/>
    </w:p>
    <w:p w14:paraId="6A9F6CF5">
      <w:pPr>
        <w:spacing w:after="156"/>
        <w:ind w:firstLine="480"/>
      </w:pPr>
      <w:r>
        <w:t>数据集共计 45,211 条有效记录，包含 17 个字段。根据分析需要，本报告选取了最具管理意义的5个核心变量进行深入探索：</w:t>
      </w:r>
    </w:p>
    <w:p w14:paraId="61F3715E">
      <w:pPr>
        <w:keepNext w:val="0"/>
        <w:keepLines w:val="0"/>
        <w:pageBreakBefore w:val="0"/>
        <w:widowControl w:val="0"/>
        <w:kinsoku/>
        <w:wordWrap/>
        <w:overflowPunct/>
        <w:topLinePunct w:val="0"/>
        <w:autoSpaceDE/>
        <w:autoSpaceDN/>
        <w:bidi w:val="0"/>
        <w:adjustRightInd/>
        <w:snapToGrid w:val="0"/>
        <w:spacing w:after="0" w:afterLines="0" w:line="360" w:lineRule="auto"/>
        <w:ind w:firstLine="0" w:firstLineChars="0"/>
        <w:jc w:val="center"/>
        <w:textAlignment w:val="auto"/>
        <w:rPr>
          <w:b/>
          <w:bCs/>
        </w:rPr>
      </w:pPr>
      <w:r>
        <w:rPr>
          <w:rFonts w:hint="eastAsia"/>
          <w:b/>
          <w:bCs/>
          <w:sz w:val="21"/>
          <w:szCs w:val="20"/>
        </w:rPr>
        <w:t>表2-1</w:t>
      </w:r>
      <w:r>
        <w:rPr>
          <w:rFonts w:hint="eastAsia"/>
          <w:b/>
          <w:bCs/>
        </w:rPr>
        <w:t xml:space="preserve"> </w:t>
      </w:r>
      <w:r>
        <w:rPr>
          <w:rFonts w:hint="eastAsia"/>
          <w:b/>
          <w:bCs/>
          <w:sz w:val="21"/>
          <w:szCs w:val="20"/>
        </w:rPr>
        <w:t>核心变量</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3"/>
        <w:gridCol w:w="977"/>
        <w:gridCol w:w="3129"/>
        <w:gridCol w:w="3383"/>
      </w:tblGrid>
      <w:tr w14:paraId="2B67A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tcBorders>
              <w:top w:val="single" w:color="000000" w:sz="12" w:space="0"/>
              <w:bottom w:val="single" w:color="000000" w:sz="6" w:space="0"/>
            </w:tcBorders>
            <w:vAlign w:val="center"/>
          </w:tcPr>
          <w:p w14:paraId="776257F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变量名</w:t>
            </w:r>
          </w:p>
        </w:tc>
        <w:tc>
          <w:tcPr>
            <w:tcW w:w="573" w:type="pct"/>
            <w:tcBorders>
              <w:top w:val="single" w:color="000000" w:sz="12" w:space="0"/>
              <w:bottom w:val="single" w:color="000000" w:sz="6" w:space="0"/>
            </w:tcBorders>
            <w:vAlign w:val="center"/>
          </w:tcPr>
          <w:p w14:paraId="12D6046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类型</w:t>
            </w:r>
          </w:p>
        </w:tc>
        <w:tc>
          <w:tcPr>
            <w:tcW w:w="1836" w:type="pct"/>
            <w:tcBorders>
              <w:top w:val="single" w:color="000000" w:sz="12" w:space="0"/>
              <w:bottom w:val="single" w:color="000000" w:sz="6" w:space="0"/>
            </w:tcBorders>
            <w:vAlign w:val="center"/>
          </w:tcPr>
          <w:p w14:paraId="37731977">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业务含义</w:t>
            </w:r>
          </w:p>
        </w:tc>
        <w:tc>
          <w:tcPr>
            <w:tcW w:w="0" w:type="auto"/>
            <w:tcBorders>
              <w:top w:val="single" w:color="000000" w:sz="12" w:space="0"/>
              <w:bottom w:val="single" w:color="000000" w:sz="6" w:space="0"/>
            </w:tcBorders>
            <w:vAlign w:val="center"/>
          </w:tcPr>
          <w:p w14:paraId="55A4B95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在分析中的作用</w:t>
            </w:r>
          </w:p>
        </w:tc>
      </w:tr>
      <w:tr w14:paraId="5CFB7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tcBorders>
              <w:top w:val="single" w:color="000000" w:sz="6" w:space="0"/>
            </w:tcBorders>
            <w:vAlign w:val="center"/>
          </w:tcPr>
          <w:p w14:paraId="430CA2A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y</w:t>
            </w:r>
          </w:p>
        </w:tc>
        <w:tc>
          <w:tcPr>
            <w:tcW w:w="573" w:type="pct"/>
            <w:tcBorders>
              <w:top w:val="single" w:color="000000" w:sz="6" w:space="0"/>
            </w:tcBorders>
            <w:vAlign w:val="center"/>
          </w:tcPr>
          <w:p w14:paraId="56C852F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二分类</w:t>
            </w:r>
          </w:p>
        </w:tc>
        <w:tc>
          <w:tcPr>
            <w:tcW w:w="1836" w:type="pct"/>
            <w:tcBorders>
              <w:top w:val="single" w:color="000000" w:sz="6" w:space="0"/>
            </w:tcBorders>
            <w:vAlign w:val="center"/>
          </w:tcPr>
          <w:p w14:paraId="5E2351A0">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客户是否已订阅定期存款（目标变量）</w:t>
            </w:r>
          </w:p>
        </w:tc>
        <w:tc>
          <w:tcPr>
            <w:tcW w:w="0" w:type="auto"/>
            <w:tcBorders>
              <w:top w:val="single" w:color="000000" w:sz="6" w:space="0"/>
            </w:tcBorders>
            <w:vAlign w:val="center"/>
          </w:tcPr>
          <w:p w14:paraId="0BFF520D">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衡量营销成功的 “金标准”</w:t>
            </w:r>
          </w:p>
        </w:tc>
      </w:tr>
      <w:tr w14:paraId="6F573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vAlign w:val="center"/>
          </w:tcPr>
          <w:p w14:paraId="363438E1">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job</w:t>
            </w:r>
          </w:p>
        </w:tc>
        <w:tc>
          <w:tcPr>
            <w:tcW w:w="573" w:type="pct"/>
            <w:vAlign w:val="center"/>
          </w:tcPr>
          <w:p w14:paraId="0C76E6A9">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多分类</w:t>
            </w:r>
          </w:p>
        </w:tc>
        <w:tc>
          <w:tcPr>
            <w:tcW w:w="1836" w:type="pct"/>
            <w:vAlign w:val="center"/>
          </w:tcPr>
          <w:p w14:paraId="487B897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客户的职业类别</w:t>
            </w:r>
          </w:p>
        </w:tc>
        <w:tc>
          <w:tcPr>
            <w:tcW w:w="0" w:type="auto"/>
            <w:vAlign w:val="center"/>
          </w:tcPr>
          <w:p w14:paraId="46561457">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分析不同职业群体的财富积累与理财意愿</w:t>
            </w:r>
          </w:p>
        </w:tc>
      </w:tr>
      <w:tr w14:paraId="727BF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tcBorders>
              <w:bottom w:val="single" w:color="000000" w:sz="12" w:space="0"/>
            </w:tcBorders>
            <w:vAlign w:val="center"/>
          </w:tcPr>
          <w:p w14:paraId="7F62BD22">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campaign</w:t>
            </w:r>
          </w:p>
        </w:tc>
        <w:tc>
          <w:tcPr>
            <w:tcW w:w="573" w:type="pct"/>
            <w:tcBorders>
              <w:bottom w:val="single" w:color="000000" w:sz="12" w:space="0"/>
            </w:tcBorders>
            <w:vAlign w:val="center"/>
          </w:tcPr>
          <w:p w14:paraId="09FEB1AC">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数值</w:t>
            </w:r>
          </w:p>
        </w:tc>
        <w:tc>
          <w:tcPr>
            <w:tcW w:w="1836" w:type="pct"/>
            <w:tcBorders>
              <w:bottom w:val="single" w:color="000000" w:sz="12" w:space="0"/>
            </w:tcBorders>
            <w:vAlign w:val="center"/>
          </w:tcPr>
          <w:p w14:paraId="0AF2D1C1">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在此次营销活动中，与该客户联系的次数</w:t>
            </w:r>
          </w:p>
        </w:tc>
        <w:tc>
          <w:tcPr>
            <w:tcW w:w="0" w:type="auto"/>
            <w:tcBorders>
              <w:bottom w:val="single" w:color="000000" w:sz="12" w:space="0"/>
            </w:tcBorders>
            <w:vAlign w:val="center"/>
          </w:tcPr>
          <w:p w14:paraId="20658A6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量化营销 “骚扰度”，寻找最优接触频次</w:t>
            </w:r>
          </w:p>
        </w:tc>
      </w:tr>
    </w:tbl>
    <w:p w14:paraId="4397F8C0">
      <w:pPr>
        <w:ind w:left="0" w:leftChars="0" w:firstLine="0" w:firstLineChars="0"/>
        <w:rPr>
          <w:rFonts w:hint="eastAsia"/>
          <w:b/>
          <w:bCs/>
          <w:sz w:val="21"/>
          <w:szCs w:val="20"/>
        </w:rPr>
      </w:pPr>
      <w:r>
        <w:rPr>
          <w:rFonts w:hint="eastAsia"/>
          <w:b/>
          <w:bCs/>
          <w:sz w:val="21"/>
          <w:szCs w:val="20"/>
        </w:rPr>
        <w:br w:type="page"/>
      </w:r>
      <w:bookmarkStart w:id="34" w:name="_GoBack"/>
      <w:bookmarkEnd w:id="34"/>
    </w:p>
    <w:p w14:paraId="0A904724">
      <w:pPr>
        <w:keepNext w:val="0"/>
        <w:keepLines w:val="0"/>
        <w:pageBreakBefore w:val="0"/>
        <w:widowControl w:val="0"/>
        <w:kinsoku/>
        <w:wordWrap/>
        <w:overflowPunct/>
        <w:topLinePunct w:val="0"/>
        <w:autoSpaceDE/>
        <w:autoSpaceDN/>
        <w:bidi w:val="0"/>
        <w:adjustRightInd/>
        <w:snapToGrid w:val="0"/>
        <w:spacing w:after="0" w:afterLines="0"/>
        <w:ind w:firstLine="0" w:firstLineChars="0"/>
        <w:jc w:val="center"/>
        <w:textAlignment w:val="auto"/>
        <w:rPr>
          <w:b/>
          <w:bCs/>
        </w:rPr>
      </w:pPr>
      <w:r>
        <w:rPr>
          <w:rFonts w:hint="eastAsia"/>
          <w:b/>
          <w:bCs/>
          <w:sz w:val="21"/>
          <w:szCs w:val="20"/>
        </w:rPr>
        <w:t>续表2-1</w:t>
      </w:r>
      <w:r>
        <w:rPr>
          <w:rFonts w:hint="eastAsia"/>
          <w:b/>
          <w:bCs/>
        </w:rPr>
        <w:t xml:space="preserve"> </w:t>
      </w:r>
      <w:r>
        <w:rPr>
          <w:rFonts w:hint="eastAsia"/>
          <w:b/>
          <w:bCs/>
          <w:sz w:val="21"/>
          <w:szCs w:val="20"/>
        </w:rPr>
        <w:t>核心变量</w:t>
      </w:r>
    </w:p>
    <w:tbl>
      <w:tblPr>
        <w:tblStyle w:val="19"/>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3"/>
        <w:gridCol w:w="977"/>
        <w:gridCol w:w="3129"/>
        <w:gridCol w:w="3383"/>
      </w:tblGrid>
      <w:tr w14:paraId="0E5FE2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tcBorders>
              <w:bottom w:val="single" w:color="000000" w:sz="6" w:space="0"/>
            </w:tcBorders>
            <w:vAlign w:val="center"/>
          </w:tcPr>
          <w:p w14:paraId="3DA97EAF">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变量名</w:t>
            </w:r>
          </w:p>
        </w:tc>
        <w:tc>
          <w:tcPr>
            <w:tcW w:w="573" w:type="pct"/>
            <w:tcBorders>
              <w:bottom w:val="single" w:color="000000" w:sz="6" w:space="0"/>
            </w:tcBorders>
            <w:vAlign w:val="center"/>
          </w:tcPr>
          <w:p w14:paraId="2A6DC483">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类型</w:t>
            </w:r>
          </w:p>
        </w:tc>
        <w:tc>
          <w:tcPr>
            <w:tcW w:w="1836" w:type="pct"/>
            <w:tcBorders>
              <w:bottom w:val="single" w:color="000000" w:sz="6" w:space="0"/>
            </w:tcBorders>
            <w:vAlign w:val="center"/>
          </w:tcPr>
          <w:p w14:paraId="50188D43">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业务含义</w:t>
            </w:r>
          </w:p>
        </w:tc>
        <w:tc>
          <w:tcPr>
            <w:tcW w:w="0" w:type="auto"/>
            <w:tcBorders>
              <w:bottom w:val="single" w:color="000000" w:sz="6" w:space="0"/>
            </w:tcBorders>
            <w:vAlign w:val="center"/>
          </w:tcPr>
          <w:p w14:paraId="58F01B9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在分析中的作用</w:t>
            </w:r>
          </w:p>
        </w:tc>
      </w:tr>
      <w:tr w14:paraId="2B2D7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tcBorders>
              <w:top w:val="single" w:color="000000" w:sz="6" w:space="0"/>
            </w:tcBorders>
            <w:vAlign w:val="center"/>
          </w:tcPr>
          <w:p w14:paraId="0F71BC4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age</w:t>
            </w:r>
          </w:p>
        </w:tc>
        <w:tc>
          <w:tcPr>
            <w:tcW w:w="573" w:type="pct"/>
            <w:tcBorders>
              <w:top w:val="single" w:color="000000" w:sz="6" w:space="0"/>
            </w:tcBorders>
            <w:vAlign w:val="center"/>
          </w:tcPr>
          <w:p w14:paraId="1951293E">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数值</w:t>
            </w:r>
          </w:p>
        </w:tc>
        <w:tc>
          <w:tcPr>
            <w:tcW w:w="1836" w:type="pct"/>
            <w:tcBorders>
              <w:top w:val="single" w:color="000000" w:sz="6" w:space="0"/>
            </w:tcBorders>
            <w:vAlign w:val="center"/>
          </w:tcPr>
          <w:p w14:paraId="59A7F881">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客户年龄</w:t>
            </w:r>
          </w:p>
        </w:tc>
        <w:tc>
          <w:tcPr>
            <w:tcW w:w="0" w:type="auto"/>
            <w:tcBorders>
              <w:top w:val="single" w:color="000000" w:sz="6" w:space="0"/>
            </w:tcBorders>
            <w:vAlign w:val="center"/>
          </w:tcPr>
          <w:p w14:paraId="1BF5438F">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划分不同生命周期的客群，进行画像分析</w:t>
            </w:r>
          </w:p>
        </w:tc>
      </w:tr>
      <w:tr w14:paraId="2A55A9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vAlign w:val="center"/>
          </w:tcPr>
          <w:p w14:paraId="0B5A94CC">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education</w:t>
            </w:r>
          </w:p>
        </w:tc>
        <w:tc>
          <w:tcPr>
            <w:tcW w:w="573" w:type="pct"/>
            <w:vAlign w:val="center"/>
          </w:tcPr>
          <w:p w14:paraId="2D0B149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多分类</w:t>
            </w:r>
          </w:p>
        </w:tc>
        <w:tc>
          <w:tcPr>
            <w:tcW w:w="1836" w:type="pct"/>
            <w:vAlign w:val="center"/>
          </w:tcPr>
          <w:p w14:paraId="1D221E2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客户的教育水平</w:t>
            </w:r>
          </w:p>
        </w:tc>
        <w:tc>
          <w:tcPr>
            <w:tcW w:w="0" w:type="auto"/>
            <w:vAlign w:val="center"/>
          </w:tcPr>
          <w:p w14:paraId="40EB9F93">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分析认知水平与金融决策风险偏好的关系</w:t>
            </w:r>
          </w:p>
        </w:tc>
      </w:tr>
    </w:tbl>
    <w:p w14:paraId="6A363C05">
      <w:pPr>
        <w:spacing w:after="156"/>
        <w:ind w:firstLine="0" w:firstLineChars="0"/>
      </w:pPr>
    </w:p>
    <w:p w14:paraId="367515D4">
      <w:pPr>
        <w:pStyle w:val="3"/>
        <w:spacing w:before="249" w:after="156"/>
        <w:rPr>
          <w:bCs/>
        </w:rPr>
      </w:pPr>
      <w:bookmarkStart w:id="7" w:name="_Toc229391188"/>
      <w:r>
        <w:rPr>
          <w:rFonts w:hint="eastAsia"/>
        </w:rPr>
        <w:t>2.3</w:t>
      </w:r>
      <w:r>
        <w:rPr>
          <w:bCs/>
        </w:rPr>
        <w:t>数据质量与初步探索</w:t>
      </w:r>
      <w:bookmarkEnd w:id="7"/>
    </w:p>
    <w:p w14:paraId="1770F97A">
      <w:pPr>
        <w:spacing w:after="156"/>
        <w:ind w:firstLine="480"/>
      </w:pPr>
      <w:r>
        <w:t>在进行正式分析之前，首先对数据质量与基本特征进行评估。</w:t>
      </w:r>
    </w:p>
    <w:p w14:paraId="641F6974">
      <w:pPr>
        <w:pStyle w:val="4"/>
        <w:spacing w:after="156"/>
        <w:ind w:firstLine="482"/>
      </w:pPr>
      <w:bookmarkStart w:id="8" w:name="_Toc229391189"/>
      <w:r>
        <w:t>2.</w:t>
      </w:r>
      <w:r>
        <w:rPr>
          <w:rFonts w:hint="eastAsia"/>
        </w:rPr>
        <w:t>3</w:t>
      </w:r>
      <w:r>
        <w:t>.1 缺失值检查</w:t>
      </w:r>
      <w:bookmarkEnd w:id="8"/>
    </w:p>
    <w:p w14:paraId="241D6075">
      <w:pPr>
        <w:spacing w:after="156"/>
        <w:ind w:firstLine="480"/>
      </w:pPr>
      <w:r>
        <w:t>运行colSums(is.na(bank_data))检查各字段缺失情况。结果显示，所有17个字段的缺失值均为0。该数据集经过预清洗，无缺失值问题，可直接用于后续分析。</w:t>
      </w:r>
    </w:p>
    <w:p w14:paraId="0E36AD2F">
      <w:pPr>
        <w:spacing w:after="156"/>
        <w:ind w:firstLine="480"/>
      </w:pPr>
      <w:r>
        <w:rPr>
          <w:rFonts w:hint="eastAsia"/>
        </w:rPr>
        <w:t>R代码实现：</w:t>
      </w:r>
    </w:p>
    <w:p w14:paraId="4C75527C">
      <w:pPr>
        <w:spacing w:after="156"/>
        <w:ind w:firstLine="0" w:firstLineChars="0"/>
        <w:rPr>
          <w:i/>
          <w:iCs/>
          <w:shd w:val="pct15" w:color="auto" w:fill="FFFFFF"/>
        </w:rPr>
      </w:pPr>
      <w:r>
        <w:rPr>
          <w:rFonts w:hint="eastAsia"/>
          <w:i/>
          <w:iCs/>
          <w:shd w:val="pct15" w:color="auto" w:fill="FFFFFF"/>
        </w:rPr>
        <w:t># 检查缺失值</w:t>
      </w:r>
    </w:p>
    <w:p w14:paraId="556517D3">
      <w:pPr>
        <w:spacing w:after="156"/>
        <w:ind w:firstLine="0" w:firstLineChars="0"/>
        <w:rPr>
          <w:shd w:val="pct15" w:color="auto" w:fill="FFFFFF"/>
        </w:rPr>
      </w:pPr>
      <w:r>
        <w:rPr>
          <w:shd w:val="pct15" w:color="auto" w:fill="FFFFFF"/>
        </w:rPr>
        <w:t>colSums(is.na(bank_data))</w:t>
      </w:r>
    </w:p>
    <w:p w14:paraId="43552E6F">
      <w:pPr>
        <w:spacing w:after="156"/>
        <w:ind w:firstLine="0" w:firstLineChars="0"/>
        <w:jc w:val="center"/>
        <w:rPr>
          <w:b/>
          <w:bCs/>
          <w:sz w:val="21"/>
          <w:szCs w:val="20"/>
        </w:rPr>
      </w:pPr>
      <w:r>
        <w:rPr>
          <w:b/>
          <w:bCs/>
          <w:sz w:val="21"/>
          <w:szCs w:val="20"/>
        </w:rPr>
        <w:drawing>
          <wp:inline distT="0" distB="0" distL="0" distR="0">
            <wp:extent cx="5274310" cy="632460"/>
            <wp:effectExtent l="0" t="0" r="2540" b="0"/>
            <wp:docPr id="6894872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7272" name="图片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632460"/>
                    </a:xfrm>
                    <a:prstGeom prst="rect">
                      <a:avLst/>
                    </a:prstGeom>
                    <a:noFill/>
                    <a:ln>
                      <a:noFill/>
                    </a:ln>
                  </pic:spPr>
                </pic:pic>
              </a:graphicData>
            </a:graphic>
          </wp:inline>
        </w:drawing>
      </w:r>
    </w:p>
    <w:p w14:paraId="3C07F41E">
      <w:pPr>
        <w:spacing w:after="156"/>
        <w:ind w:firstLine="0" w:firstLineChars="0"/>
        <w:jc w:val="center"/>
        <w:rPr>
          <w:b/>
          <w:bCs/>
          <w:sz w:val="21"/>
          <w:szCs w:val="20"/>
        </w:rPr>
      </w:pPr>
      <w:r>
        <w:rPr>
          <w:rFonts w:hint="eastAsia"/>
          <w:b/>
          <w:bCs/>
          <w:sz w:val="21"/>
          <w:szCs w:val="20"/>
        </w:rPr>
        <w:t>图2-1 缺失值检查</w:t>
      </w:r>
    </w:p>
    <w:p w14:paraId="1FD71BB7">
      <w:pPr>
        <w:pStyle w:val="4"/>
        <w:spacing w:after="156"/>
        <w:ind w:firstLine="482"/>
      </w:pPr>
      <w:bookmarkStart w:id="9" w:name="_Toc229391190"/>
      <w:r>
        <w:t>2.</w:t>
      </w:r>
      <w:r>
        <w:rPr>
          <w:rFonts w:hint="eastAsia"/>
        </w:rPr>
        <w:t>3</w:t>
      </w:r>
      <w:r>
        <w:t>.2 数值变量分布特征</w:t>
      </w:r>
      <w:bookmarkEnd w:id="9"/>
    </w:p>
    <w:p w14:paraId="5209F4CE">
      <w:pPr>
        <w:spacing w:after="156"/>
        <w:ind w:firstLine="480"/>
      </w:pPr>
      <w:r>
        <w:rPr>
          <w:rFonts w:hint="eastAsia"/>
        </w:rPr>
        <w:t>R代码实现：</w:t>
      </w:r>
    </w:p>
    <w:p w14:paraId="6525E1A1">
      <w:pPr>
        <w:spacing w:after="156"/>
        <w:ind w:firstLine="0" w:firstLineChars="0"/>
        <w:rPr>
          <w:i/>
          <w:iCs/>
        </w:rPr>
      </w:pPr>
      <w:r>
        <w:rPr>
          <w:i/>
          <w:iCs/>
          <w:shd w:val="pct15" w:color="auto" w:fill="FFFFFF"/>
        </w:rPr>
        <w:t># 数值变量摘要统计</w:t>
      </w:r>
    </w:p>
    <w:p w14:paraId="0D692327">
      <w:pPr>
        <w:spacing w:after="156"/>
        <w:ind w:firstLine="0" w:firstLineChars="0"/>
        <w:rPr>
          <w:shd w:val="pct15" w:color="auto" w:fill="FFFFFF"/>
        </w:rPr>
      </w:pPr>
      <w:r>
        <w:rPr>
          <w:shd w:val="pct15" w:color="auto" w:fill="FFFFFF"/>
        </w:rPr>
        <w:t>summary(bank_data[, c("age", "balance", "duration", "campaign", "previous")])</w:t>
      </w:r>
    </w:p>
    <w:p w14:paraId="50E04F2E">
      <w:pPr>
        <w:spacing w:after="156"/>
        <w:ind w:firstLine="0" w:firstLineChars="0"/>
        <w:jc w:val="center"/>
      </w:pPr>
      <w:r>
        <w:drawing>
          <wp:inline distT="0" distB="0" distL="0" distR="0">
            <wp:extent cx="5274310" cy="1098550"/>
            <wp:effectExtent l="0" t="0" r="2540" b="6350"/>
            <wp:docPr id="23576370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63701" name="图片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1098550"/>
                    </a:xfrm>
                    <a:prstGeom prst="rect">
                      <a:avLst/>
                    </a:prstGeom>
                    <a:noFill/>
                    <a:ln>
                      <a:noFill/>
                    </a:ln>
                  </pic:spPr>
                </pic:pic>
              </a:graphicData>
            </a:graphic>
          </wp:inline>
        </w:drawing>
      </w:r>
    </w:p>
    <w:p w14:paraId="2F0347E9">
      <w:pPr>
        <w:spacing w:after="156"/>
        <w:ind w:firstLine="0" w:firstLineChars="0"/>
        <w:jc w:val="center"/>
        <w:rPr>
          <w:b/>
          <w:bCs/>
          <w:sz w:val="21"/>
          <w:szCs w:val="20"/>
        </w:rPr>
      </w:pPr>
      <w:r>
        <w:rPr>
          <w:rFonts w:hint="eastAsia"/>
          <w:b/>
          <w:bCs/>
          <w:sz w:val="21"/>
          <w:szCs w:val="20"/>
        </w:rPr>
        <w:t xml:space="preserve">图2-2 </w:t>
      </w:r>
      <w:r>
        <w:rPr>
          <w:b/>
          <w:bCs/>
          <w:sz w:val="21"/>
          <w:szCs w:val="20"/>
        </w:rPr>
        <w:t>核心数值变量描述性统计（summary函数输出）</w:t>
      </w:r>
    </w:p>
    <w:p w14:paraId="0727E614">
      <w:pPr>
        <w:spacing w:after="156"/>
        <w:ind w:firstLine="480"/>
      </w:pPr>
      <w:r>
        <w:t>对核心数值变量进行描述性统计，结果如表2-2所示。</w:t>
      </w:r>
    </w:p>
    <w:p w14:paraId="64CF9508">
      <w:pPr>
        <w:keepNext w:val="0"/>
        <w:keepLines w:val="0"/>
        <w:pageBreakBefore w:val="0"/>
        <w:widowControl w:val="0"/>
        <w:kinsoku/>
        <w:wordWrap/>
        <w:overflowPunct/>
        <w:topLinePunct w:val="0"/>
        <w:autoSpaceDE/>
        <w:autoSpaceDN/>
        <w:bidi w:val="0"/>
        <w:adjustRightInd/>
        <w:snapToGrid w:val="0"/>
        <w:spacing w:after="0" w:afterLines="0"/>
        <w:ind w:firstLine="0" w:firstLineChars="0"/>
        <w:jc w:val="center"/>
        <w:textAlignment w:val="auto"/>
        <w:rPr>
          <w:b/>
          <w:bCs/>
          <w:sz w:val="21"/>
          <w:szCs w:val="20"/>
        </w:rPr>
      </w:pPr>
      <w:r>
        <w:rPr>
          <w:b/>
          <w:bCs/>
          <w:sz w:val="21"/>
          <w:szCs w:val="20"/>
        </w:rPr>
        <w:t>表2-2 核心数值变量描述性统计（单位：年龄/岁，余额/欧元，通话时长/秒）</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141"/>
        <w:gridCol w:w="1424"/>
        <w:gridCol w:w="1141"/>
        <w:gridCol w:w="858"/>
        <w:gridCol w:w="1424"/>
        <w:gridCol w:w="1141"/>
      </w:tblGrid>
      <w:tr w14:paraId="05D03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tcBorders>
              <w:top w:val="single" w:color="000000" w:sz="12" w:space="0"/>
              <w:bottom w:val="single" w:color="000000" w:sz="6" w:space="0"/>
            </w:tcBorders>
            <w:vAlign w:val="center"/>
          </w:tcPr>
          <w:p w14:paraId="77745C3D">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变量</w:t>
            </w:r>
          </w:p>
        </w:tc>
        <w:tc>
          <w:tcPr>
            <w:tcW w:w="0" w:type="auto"/>
            <w:tcBorders>
              <w:top w:val="single" w:color="000000" w:sz="12" w:space="0"/>
              <w:bottom w:val="single" w:color="000000" w:sz="6" w:space="0"/>
            </w:tcBorders>
            <w:vAlign w:val="center"/>
          </w:tcPr>
          <w:p w14:paraId="46037623">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最小值</w:t>
            </w:r>
          </w:p>
        </w:tc>
        <w:tc>
          <w:tcPr>
            <w:tcW w:w="0" w:type="auto"/>
            <w:tcBorders>
              <w:top w:val="single" w:color="000000" w:sz="12" w:space="0"/>
              <w:bottom w:val="single" w:color="000000" w:sz="6" w:space="0"/>
            </w:tcBorders>
            <w:vAlign w:val="center"/>
          </w:tcPr>
          <w:p w14:paraId="0DD7FECD">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b/>
                <w:bCs/>
                <w:sz w:val="21"/>
                <w:szCs w:val="20"/>
              </w:rPr>
            </w:pPr>
            <w:r>
              <w:rPr>
                <w:b/>
                <w:bCs/>
                <w:sz w:val="21"/>
                <w:szCs w:val="20"/>
              </w:rPr>
              <w:t>25%</w:t>
            </w:r>
            <w:r>
              <w:rPr>
                <w:rFonts w:ascii="黑体" w:hAnsi="黑体" w:eastAsia="黑体"/>
                <w:sz w:val="21"/>
                <w:szCs w:val="20"/>
              </w:rPr>
              <w:t>分位</w:t>
            </w:r>
          </w:p>
        </w:tc>
        <w:tc>
          <w:tcPr>
            <w:tcW w:w="0" w:type="auto"/>
            <w:tcBorders>
              <w:top w:val="single" w:color="000000" w:sz="12" w:space="0"/>
              <w:bottom w:val="single" w:color="000000" w:sz="6" w:space="0"/>
            </w:tcBorders>
            <w:vAlign w:val="center"/>
          </w:tcPr>
          <w:p w14:paraId="3256A90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中位数</w:t>
            </w:r>
          </w:p>
        </w:tc>
        <w:tc>
          <w:tcPr>
            <w:tcW w:w="0" w:type="auto"/>
            <w:tcBorders>
              <w:top w:val="single" w:color="000000" w:sz="12" w:space="0"/>
              <w:bottom w:val="single" w:color="000000" w:sz="6" w:space="0"/>
            </w:tcBorders>
            <w:vAlign w:val="center"/>
          </w:tcPr>
          <w:p w14:paraId="419F7857">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均值</w:t>
            </w:r>
          </w:p>
        </w:tc>
        <w:tc>
          <w:tcPr>
            <w:tcW w:w="0" w:type="auto"/>
            <w:tcBorders>
              <w:top w:val="single" w:color="000000" w:sz="12" w:space="0"/>
              <w:bottom w:val="single" w:color="000000" w:sz="6" w:space="0"/>
            </w:tcBorders>
            <w:vAlign w:val="center"/>
          </w:tcPr>
          <w:p w14:paraId="1DD872AE">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b/>
                <w:bCs/>
                <w:sz w:val="21"/>
                <w:szCs w:val="20"/>
              </w:rPr>
            </w:pPr>
            <w:r>
              <w:rPr>
                <w:b/>
                <w:bCs/>
                <w:sz w:val="21"/>
                <w:szCs w:val="20"/>
              </w:rPr>
              <w:t>75%</w:t>
            </w:r>
            <w:r>
              <w:rPr>
                <w:rFonts w:ascii="黑体" w:hAnsi="黑体" w:eastAsia="黑体"/>
                <w:sz w:val="21"/>
                <w:szCs w:val="20"/>
              </w:rPr>
              <w:t>分位</w:t>
            </w:r>
          </w:p>
        </w:tc>
        <w:tc>
          <w:tcPr>
            <w:tcW w:w="0" w:type="auto"/>
            <w:tcBorders>
              <w:top w:val="single" w:color="000000" w:sz="12" w:space="0"/>
              <w:bottom w:val="single" w:color="000000" w:sz="6" w:space="0"/>
            </w:tcBorders>
            <w:vAlign w:val="center"/>
          </w:tcPr>
          <w:p w14:paraId="13B4453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最大值</w:t>
            </w:r>
          </w:p>
        </w:tc>
      </w:tr>
      <w:tr w14:paraId="76D37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tcBorders>
              <w:top w:val="single" w:color="000000" w:sz="6" w:space="0"/>
            </w:tcBorders>
            <w:vAlign w:val="center"/>
          </w:tcPr>
          <w:p w14:paraId="20EE0D1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age</w:t>
            </w:r>
          </w:p>
        </w:tc>
        <w:tc>
          <w:tcPr>
            <w:tcW w:w="0" w:type="auto"/>
            <w:tcBorders>
              <w:top w:val="single" w:color="000000" w:sz="6" w:space="0"/>
            </w:tcBorders>
            <w:vAlign w:val="center"/>
          </w:tcPr>
          <w:p w14:paraId="6779869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18</w:t>
            </w:r>
          </w:p>
        </w:tc>
        <w:tc>
          <w:tcPr>
            <w:tcW w:w="0" w:type="auto"/>
            <w:tcBorders>
              <w:top w:val="single" w:color="000000" w:sz="6" w:space="0"/>
            </w:tcBorders>
            <w:vAlign w:val="center"/>
          </w:tcPr>
          <w:p w14:paraId="3C2D617E">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32</w:t>
            </w:r>
          </w:p>
        </w:tc>
        <w:tc>
          <w:tcPr>
            <w:tcW w:w="0" w:type="auto"/>
            <w:tcBorders>
              <w:top w:val="single" w:color="000000" w:sz="6" w:space="0"/>
            </w:tcBorders>
            <w:vAlign w:val="center"/>
          </w:tcPr>
          <w:p w14:paraId="3401E44F">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38</w:t>
            </w:r>
          </w:p>
        </w:tc>
        <w:tc>
          <w:tcPr>
            <w:tcW w:w="0" w:type="auto"/>
            <w:tcBorders>
              <w:top w:val="single" w:color="000000" w:sz="6" w:space="0"/>
            </w:tcBorders>
            <w:vAlign w:val="center"/>
          </w:tcPr>
          <w:p w14:paraId="47A073C1">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40.0</w:t>
            </w:r>
          </w:p>
        </w:tc>
        <w:tc>
          <w:tcPr>
            <w:tcW w:w="0" w:type="auto"/>
            <w:tcBorders>
              <w:top w:val="single" w:color="000000" w:sz="6" w:space="0"/>
            </w:tcBorders>
            <w:vAlign w:val="center"/>
          </w:tcPr>
          <w:p w14:paraId="718590C5">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47</w:t>
            </w:r>
          </w:p>
        </w:tc>
        <w:tc>
          <w:tcPr>
            <w:tcW w:w="0" w:type="auto"/>
            <w:tcBorders>
              <w:top w:val="single" w:color="000000" w:sz="6" w:space="0"/>
            </w:tcBorders>
            <w:vAlign w:val="center"/>
          </w:tcPr>
          <w:p w14:paraId="2C0FD7B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95</w:t>
            </w:r>
          </w:p>
        </w:tc>
      </w:tr>
      <w:tr w14:paraId="35AD5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vAlign w:val="center"/>
          </w:tcPr>
          <w:p w14:paraId="293A769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balance</w:t>
            </w:r>
          </w:p>
        </w:tc>
        <w:tc>
          <w:tcPr>
            <w:tcW w:w="0" w:type="auto"/>
            <w:vAlign w:val="center"/>
          </w:tcPr>
          <w:p w14:paraId="42E3DF9C">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-8019</w:t>
            </w:r>
          </w:p>
        </w:tc>
        <w:tc>
          <w:tcPr>
            <w:tcW w:w="0" w:type="auto"/>
            <w:vAlign w:val="center"/>
          </w:tcPr>
          <w:p w14:paraId="3B06475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72</w:t>
            </w:r>
          </w:p>
        </w:tc>
        <w:tc>
          <w:tcPr>
            <w:tcW w:w="0" w:type="auto"/>
            <w:vAlign w:val="center"/>
          </w:tcPr>
          <w:p w14:paraId="7AEB2B51">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448</w:t>
            </w:r>
          </w:p>
        </w:tc>
        <w:tc>
          <w:tcPr>
            <w:tcW w:w="0" w:type="auto"/>
            <w:vAlign w:val="center"/>
          </w:tcPr>
          <w:p w14:paraId="2AE9BF6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1362</w:t>
            </w:r>
          </w:p>
        </w:tc>
        <w:tc>
          <w:tcPr>
            <w:tcW w:w="0" w:type="auto"/>
            <w:vAlign w:val="center"/>
          </w:tcPr>
          <w:p w14:paraId="6460D1B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1428</w:t>
            </w:r>
          </w:p>
        </w:tc>
        <w:tc>
          <w:tcPr>
            <w:tcW w:w="0" w:type="auto"/>
            <w:vAlign w:val="center"/>
          </w:tcPr>
          <w:p w14:paraId="715A70FC">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102127</w:t>
            </w:r>
          </w:p>
        </w:tc>
      </w:tr>
      <w:tr w14:paraId="22EEB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vAlign w:val="center"/>
          </w:tcPr>
          <w:p w14:paraId="5616CE59">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duration</w:t>
            </w:r>
          </w:p>
        </w:tc>
        <w:tc>
          <w:tcPr>
            <w:tcW w:w="0" w:type="auto"/>
            <w:vAlign w:val="center"/>
          </w:tcPr>
          <w:p w14:paraId="43F702F3">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0</w:t>
            </w:r>
          </w:p>
        </w:tc>
        <w:tc>
          <w:tcPr>
            <w:tcW w:w="0" w:type="auto"/>
            <w:vAlign w:val="center"/>
          </w:tcPr>
          <w:p w14:paraId="7638FD37">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103</w:t>
            </w:r>
          </w:p>
        </w:tc>
        <w:tc>
          <w:tcPr>
            <w:tcW w:w="0" w:type="auto"/>
            <w:vAlign w:val="center"/>
          </w:tcPr>
          <w:p w14:paraId="03571820">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180</w:t>
            </w:r>
          </w:p>
        </w:tc>
        <w:tc>
          <w:tcPr>
            <w:tcW w:w="0" w:type="auto"/>
            <w:vAlign w:val="center"/>
          </w:tcPr>
          <w:p w14:paraId="3F4541E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258</w:t>
            </w:r>
          </w:p>
        </w:tc>
        <w:tc>
          <w:tcPr>
            <w:tcW w:w="0" w:type="auto"/>
            <w:vAlign w:val="center"/>
          </w:tcPr>
          <w:p w14:paraId="5EFD9F7E">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319</w:t>
            </w:r>
          </w:p>
        </w:tc>
        <w:tc>
          <w:tcPr>
            <w:tcW w:w="0" w:type="auto"/>
            <w:vAlign w:val="center"/>
          </w:tcPr>
          <w:p w14:paraId="42DC928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4918</w:t>
            </w:r>
          </w:p>
        </w:tc>
      </w:tr>
      <w:tr w14:paraId="5CD6D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vAlign w:val="center"/>
          </w:tcPr>
          <w:p w14:paraId="3BBAE60F">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campaign</w:t>
            </w:r>
          </w:p>
        </w:tc>
        <w:tc>
          <w:tcPr>
            <w:tcW w:w="0" w:type="auto"/>
            <w:vAlign w:val="center"/>
          </w:tcPr>
          <w:p w14:paraId="0C18B29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w:t>
            </w:r>
          </w:p>
        </w:tc>
        <w:tc>
          <w:tcPr>
            <w:tcW w:w="0" w:type="auto"/>
            <w:vAlign w:val="center"/>
          </w:tcPr>
          <w:p w14:paraId="2A88A007">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w:t>
            </w:r>
          </w:p>
        </w:tc>
        <w:tc>
          <w:tcPr>
            <w:tcW w:w="0" w:type="auto"/>
            <w:vAlign w:val="center"/>
          </w:tcPr>
          <w:p w14:paraId="566FFD77">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w:t>
            </w:r>
          </w:p>
        </w:tc>
        <w:tc>
          <w:tcPr>
            <w:tcW w:w="0" w:type="auto"/>
            <w:vAlign w:val="center"/>
          </w:tcPr>
          <w:p w14:paraId="215B9EA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2.8</w:t>
            </w:r>
          </w:p>
        </w:tc>
        <w:tc>
          <w:tcPr>
            <w:tcW w:w="0" w:type="auto"/>
            <w:vAlign w:val="center"/>
          </w:tcPr>
          <w:p w14:paraId="52E2B0D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3</w:t>
            </w:r>
          </w:p>
        </w:tc>
        <w:tc>
          <w:tcPr>
            <w:tcW w:w="0" w:type="auto"/>
            <w:vAlign w:val="center"/>
          </w:tcPr>
          <w:p w14:paraId="5DA6A362">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63</w:t>
            </w:r>
          </w:p>
        </w:tc>
      </w:tr>
      <w:tr w14:paraId="779EF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tcBorders>
              <w:bottom w:val="single" w:color="000000" w:sz="12" w:space="0"/>
            </w:tcBorders>
            <w:vAlign w:val="center"/>
          </w:tcPr>
          <w:p w14:paraId="38D4BBDE">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previous</w:t>
            </w:r>
          </w:p>
        </w:tc>
        <w:tc>
          <w:tcPr>
            <w:tcW w:w="0" w:type="auto"/>
            <w:tcBorders>
              <w:bottom w:val="single" w:color="000000" w:sz="12" w:space="0"/>
            </w:tcBorders>
            <w:vAlign w:val="center"/>
          </w:tcPr>
          <w:p w14:paraId="5437F56F">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0</w:t>
            </w:r>
          </w:p>
        </w:tc>
        <w:tc>
          <w:tcPr>
            <w:tcW w:w="0" w:type="auto"/>
            <w:tcBorders>
              <w:bottom w:val="single" w:color="000000" w:sz="12" w:space="0"/>
            </w:tcBorders>
            <w:vAlign w:val="center"/>
          </w:tcPr>
          <w:p w14:paraId="01CF8F9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0</w:t>
            </w:r>
          </w:p>
        </w:tc>
        <w:tc>
          <w:tcPr>
            <w:tcW w:w="0" w:type="auto"/>
            <w:tcBorders>
              <w:bottom w:val="single" w:color="000000" w:sz="12" w:space="0"/>
            </w:tcBorders>
            <w:vAlign w:val="center"/>
          </w:tcPr>
          <w:p w14:paraId="12C4A61E">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0</w:t>
            </w:r>
          </w:p>
        </w:tc>
        <w:tc>
          <w:tcPr>
            <w:tcW w:w="0" w:type="auto"/>
            <w:tcBorders>
              <w:bottom w:val="single" w:color="000000" w:sz="12" w:space="0"/>
            </w:tcBorders>
            <w:vAlign w:val="center"/>
          </w:tcPr>
          <w:p w14:paraId="1D2595F5">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0.58</w:t>
            </w:r>
          </w:p>
        </w:tc>
        <w:tc>
          <w:tcPr>
            <w:tcW w:w="0" w:type="auto"/>
            <w:tcBorders>
              <w:bottom w:val="single" w:color="000000" w:sz="12" w:space="0"/>
            </w:tcBorders>
            <w:vAlign w:val="center"/>
          </w:tcPr>
          <w:p w14:paraId="45F6A64E">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0</w:t>
            </w:r>
          </w:p>
        </w:tc>
        <w:tc>
          <w:tcPr>
            <w:tcW w:w="0" w:type="auto"/>
            <w:tcBorders>
              <w:bottom w:val="single" w:color="000000" w:sz="12" w:space="0"/>
            </w:tcBorders>
            <w:vAlign w:val="center"/>
          </w:tcPr>
          <w:p w14:paraId="2256D10F">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275</w:t>
            </w:r>
          </w:p>
        </w:tc>
      </w:tr>
    </w:tbl>
    <w:p w14:paraId="2B0966E3">
      <w:pPr>
        <w:spacing w:after="156"/>
        <w:ind w:firstLine="0" w:firstLineChars="0"/>
      </w:pPr>
    </w:p>
    <w:p w14:paraId="2E822074">
      <w:pPr>
        <w:spacing w:after="156"/>
        <w:ind w:firstLine="480"/>
      </w:pPr>
      <w:r>
        <w:rPr>
          <w:rFonts w:hint="eastAsia"/>
        </w:rPr>
        <w:t>从表2-2可以观察到：</w:t>
      </w:r>
    </w:p>
    <w:p w14:paraId="6420475E">
      <w:pPr>
        <w:spacing w:after="156"/>
        <w:ind w:firstLine="480"/>
      </w:pPr>
      <w:r>
        <w:rPr>
          <w:rFonts w:hint="eastAsia"/>
        </w:rPr>
        <w:t>（1）年龄（age）：客户主要集中在32-47岁之间，最年长客户达95岁。</w:t>
      </w:r>
    </w:p>
    <w:p w14:paraId="455ECD0C">
      <w:pPr>
        <w:spacing w:after="156"/>
        <w:ind w:firstLine="480"/>
      </w:pPr>
      <w:r>
        <w:rPr>
          <w:rFonts w:hint="eastAsia"/>
        </w:rPr>
        <w:t>（2）余额（balance）：存在负值（-8019），说明部分客户存在透支情况；同时最大值达10万以上，客户资产差异较大。</w:t>
      </w:r>
    </w:p>
    <w:p w14:paraId="014ED62C">
      <w:pPr>
        <w:spacing w:after="156"/>
        <w:ind w:firstLine="480"/>
      </w:pPr>
      <w:r>
        <w:rPr>
          <w:rFonts w:hint="eastAsia"/>
        </w:rPr>
        <w:t>（3）通话时长（duration）：均值258秒，但最大值达4918秒（约82分钟），存在极右偏态分布，可能存在异常值。</w:t>
      </w:r>
    </w:p>
    <w:p w14:paraId="3371822E">
      <w:pPr>
        <w:spacing w:after="156"/>
        <w:ind w:firstLine="480"/>
      </w:pPr>
      <w:r>
        <w:rPr>
          <w:rFonts w:hint="eastAsia"/>
        </w:rPr>
        <w:t>（4）营销次数（campaign）：中位数为2次，但最大值达63次，说明存在极少数被反复联系的客户。</w:t>
      </w:r>
    </w:p>
    <w:p w14:paraId="58D9EA29">
      <w:pPr>
        <w:spacing w:after="156"/>
        <w:ind w:firstLine="480"/>
      </w:pPr>
      <w:r>
        <w:rPr>
          <w:rFonts w:hint="eastAsia"/>
        </w:rPr>
        <w:t>（5）历史接触次数（previous）：大部分客户（75%）此前未被联系过，中位数为0。</w:t>
      </w:r>
    </w:p>
    <w:p w14:paraId="0B6ED47C">
      <w:pPr>
        <w:pStyle w:val="4"/>
        <w:spacing w:after="156"/>
        <w:ind w:firstLine="482"/>
      </w:pPr>
      <w:bookmarkStart w:id="10" w:name="_Toc229391191"/>
      <w:r>
        <w:rPr>
          <w:rFonts w:hint="eastAsia"/>
        </w:rPr>
        <w:t>2.3.3 目标变量不平衡性分析</w:t>
      </w:r>
      <w:bookmarkEnd w:id="10"/>
    </w:p>
    <w:p w14:paraId="17C88FD7">
      <w:pPr>
        <w:bidi w:val="0"/>
        <w:ind w:left="0" w:leftChars="0" w:firstLine="0" w:firstLineChars="0"/>
        <w:rPr>
          <w:i/>
          <w:iCs/>
          <w:shd w:val="clear" w:color="FFFFFF" w:fill="D9D9D9"/>
        </w:rPr>
      </w:pPr>
      <w:r>
        <w:rPr>
          <w:i/>
          <w:iCs/>
          <w:shd w:val="clear" w:color="FFFFFF" w:fill="D9D9D9"/>
        </w:rPr>
        <w:t xml:space="preserve"># 将目标变量 y 转为数值型（0/1） </w:t>
      </w:r>
    </w:p>
    <w:p w14:paraId="4BC4C67D">
      <w:pPr>
        <w:bidi w:val="0"/>
        <w:ind w:left="0" w:leftChars="0" w:firstLine="0" w:firstLineChars="0"/>
        <w:rPr>
          <w:shd w:val="clear" w:color="FFFFFF" w:fill="D9D9D9"/>
        </w:rPr>
      </w:pPr>
      <w:r>
        <w:rPr>
          <w:shd w:val="clear" w:color="FFFFFF" w:fill="D9D9D9"/>
        </w:rPr>
        <w:t xml:space="preserve">bank_data$y_num &lt;- ifelse(bank_data$y == "yes", 1, 0) </w:t>
      </w:r>
    </w:p>
    <w:p w14:paraId="3E8026B2">
      <w:pPr>
        <w:bidi w:val="0"/>
        <w:ind w:left="0" w:leftChars="0" w:firstLine="0" w:firstLineChars="0"/>
        <w:rPr>
          <w:i/>
          <w:iCs/>
          <w:shd w:val="clear" w:color="FFFFFF" w:fill="D9D9D9"/>
        </w:rPr>
      </w:pPr>
      <w:r>
        <w:rPr>
          <w:i/>
          <w:iCs/>
          <w:shd w:val="clear" w:color="FFFFFF" w:fill="D9D9D9"/>
        </w:rPr>
        <w:t xml:space="preserve"># 创建年龄分组（便于管理分析） </w:t>
      </w:r>
    </w:p>
    <w:p w14:paraId="7C71DE37">
      <w:pPr>
        <w:bidi w:val="0"/>
        <w:ind w:left="0" w:leftChars="0" w:firstLine="0" w:firstLineChars="0"/>
        <w:rPr>
          <w:shd w:val="clear" w:color="FFFFFF" w:fill="D9D9D9"/>
        </w:rPr>
      </w:pPr>
      <w:r>
        <w:rPr>
          <w:shd w:val="clear" w:color="FFFFFF" w:fill="D9D9D9"/>
        </w:rPr>
        <w:t xml:space="preserve">bank_data$age_group &lt;- cut(bank_data$age, breaks = c(0, 25, 35, 45, 55, 65, 100), labels = c("18-25", "26-35", "36-45", "46-55", "56-65", "65+")) </w:t>
      </w:r>
    </w:p>
    <w:p w14:paraId="138D433A">
      <w:pPr>
        <w:bidi w:val="0"/>
        <w:ind w:left="0" w:leftChars="0" w:firstLine="0" w:firstLineChars="0"/>
        <w:rPr>
          <w:i/>
          <w:iCs/>
          <w:shd w:val="clear" w:color="FFFFFF" w:fill="D9D9D9"/>
        </w:rPr>
      </w:pPr>
      <w:r>
        <w:rPr>
          <w:i/>
          <w:iCs/>
          <w:shd w:val="clear" w:color="FFFFFF" w:fill="D9D9D9"/>
        </w:rPr>
        <w:t xml:space="preserve"># 查看整体订阅率 </w:t>
      </w:r>
    </w:p>
    <w:p w14:paraId="4B73E5D2">
      <w:pPr>
        <w:bidi w:val="0"/>
        <w:ind w:left="0" w:leftChars="0" w:firstLine="0" w:firstLineChars="0"/>
        <w:rPr>
          <w:shd w:val="clear" w:color="FFFFFF" w:fill="D9D9D9"/>
        </w:rPr>
      </w:pPr>
      <w:r>
        <w:rPr>
          <w:shd w:val="clear" w:color="FFFFFF" w:fill="D9D9D9"/>
        </w:rPr>
        <w:t>subscribe_rate &lt;- mean(bank_data$y_num) * 100 paste0("整体订阅率为: ", round(subscribe_rate, 2), "%")</w:t>
      </w:r>
    </w:p>
    <w:p w14:paraId="4A8C4069">
      <w:pPr>
        <w:spacing w:after="156"/>
        <w:ind w:firstLine="0" w:firstLineChars="0"/>
        <w:jc w:val="center"/>
        <w:rPr>
          <w:b/>
          <w:bCs/>
          <w:sz w:val="21"/>
          <w:szCs w:val="20"/>
        </w:rPr>
      </w:pPr>
      <w:r>
        <w:rPr>
          <w:b/>
          <w:bCs/>
          <w:sz w:val="21"/>
          <w:szCs w:val="20"/>
        </w:rPr>
        <w:drawing>
          <wp:inline distT="0" distB="0" distL="0" distR="0">
            <wp:extent cx="5274310" cy="1148080"/>
            <wp:effectExtent l="0" t="0" r="8890" b="7620"/>
            <wp:docPr id="81771327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13270" name="图片 24"/>
                    <pic:cNvPicPr>
                      <a:picLocks noChangeAspect="1" noChangeArrowheads="1"/>
                    </pic:cNvPicPr>
                  </pic:nvPicPr>
                  <pic:blipFill>
                    <a:blip r:embed="rId16" cstate="print">
                      <a:extLst>
                        <a:ext uri="{28A0092B-C50C-407E-A947-70E740481C1C}">
                          <a14:useLocalDpi xmlns:a14="http://schemas.microsoft.com/office/drawing/2010/main" val="0"/>
                        </a:ext>
                      </a:extLst>
                    </a:blip>
                    <a:srcRect b="36258"/>
                    <a:stretch>
                      <a:fillRect/>
                    </a:stretch>
                  </pic:blipFill>
                  <pic:spPr>
                    <a:xfrm>
                      <a:off x="0" y="0"/>
                      <a:ext cx="5274310" cy="1148316"/>
                    </a:xfrm>
                    <a:prstGeom prst="rect">
                      <a:avLst/>
                    </a:prstGeom>
                    <a:noFill/>
                    <a:ln>
                      <a:noFill/>
                    </a:ln>
                  </pic:spPr>
                </pic:pic>
              </a:graphicData>
            </a:graphic>
          </wp:inline>
        </w:drawing>
      </w:r>
    </w:p>
    <w:p w14:paraId="2DB3DCEF">
      <w:pPr>
        <w:spacing w:after="156"/>
        <w:ind w:firstLine="0" w:firstLineChars="0"/>
        <w:jc w:val="center"/>
        <w:rPr>
          <w:b/>
          <w:bCs/>
          <w:sz w:val="21"/>
          <w:szCs w:val="20"/>
        </w:rPr>
      </w:pPr>
      <w:r>
        <w:rPr>
          <w:rFonts w:hint="eastAsia"/>
          <w:b/>
          <w:bCs/>
          <w:sz w:val="21"/>
          <w:szCs w:val="20"/>
        </w:rPr>
        <w:t>图2-3 整体订阅率</w:t>
      </w:r>
    </w:p>
    <w:p w14:paraId="110FF55E">
      <w:pPr>
        <w:spacing w:after="156"/>
        <w:ind w:firstLine="480"/>
      </w:pPr>
      <w:r>
        <w:rPr>
          <w:rFonts w:hint="eastAsia"/>
        </w:rPr>
        <w:t>整体订阅率为11.7%（订阅5,289人vs未订阅39,922人）。这是一个典型的不平衡数据集，意味着：即使一个模型将所有客户都预测为“不订阅”，也能达到88.3%的准确率。因此，本研究的重点不是追求整体准确率，而是识别那11.7%响应客户的独特特征，以支撑精准营销决策。</w:t>
      </w:r>
    </w:p>
    <w:p w14:paraId="2C44C229">
      <w:pPr>
        <w:pStyle w:val="4"/>
        <w:spacing w:after="156"/>
        <w:ind w:firstLine="482"/>
      </w:pPr>
      <w:bookmarkStart w:id="11" w:name="_Toc229391192"/>
      <w:r>
        <w:rPr>
          <w:rFonts w:hint="eastAsia"/>
        </w:rPr>
        <w:t>2.3.4 分类变量频数分布</w:t>
      </w:r>
      <w:bookmarkEnd w:id="11"/>
    </w:p>
    <w:p w14:paraId="407F7849">
      <w:pPr>
        <w:spacing w:after="156"/>
        <w:ind w:firstLine="480"/>
      </w:pPr>
      <w:r>
        <w:rPr>
          <w:rFonts w:hint="eastAsia"/>
        </w:rPr>
        <w:t>R代码实现：</w:t>
      </w:r>
    </w:p>
    <w:p w14:paraId="3D0268DC">
      <w:pPr>
        <w:spacing w:after="156"/>
        <w:ind w:firstLine="0" w:firstLineChars="0"/>
        <w:rPr>
          <w:i/>
          <w:iCs/>
          <w:shd w:val="pct15" w:color="auto" w:fill="FFFFFF"/>
        </w:rPr>
      </w:pPr>
      <w:r>
        <w:rPr>
          <w:i/>
          <w:iCs/>
          <w:shd w:val="pct15" w:color="auto" w:fill="FFFFFF"/>
        </w:rPr>
        <w:t># 带占比的职业分布</w:t>
      </w:r>
    </w:p>
    <w:p w14:paraId="207DA168">
      <w:pPr>
        <w:spacing w:after="156"/>
        <w:ind w:firstLine="0" w:firstLineChars="0"/>
        <w:rPr>
          <w:shd w:val="pct15" w:color="auto" w:fill="FFFFFF"/>
        </w:rPr>
      </w:pPr>
      <w:r>
        <w:rPr>
          <w:shd w:val="pct15" w:color="auto" w:fill="FFFFFF"/>
        </w:rPr>
        <w:t>job_table$占比 &lt;- round(job_table$客户数 / sum(job_table$客户数) * 100, 2)</w:t>
      </w:r>
    </w:p>
    <w:p w14:paraId="0EA5D253">
      <w:pPr>
        <w:spacing w:after="156"/>
        <w:ind w:firstLine="0" w:firstLineChars="0"/>
        <w:rPr>
          <w:shd w:val="pct15" w:color="auto" w:fill="FFFFFF"/>
        </w:rPr>
      </w:pPr>
      <w:r>
        <w:rPr>
          <w:shd w:val="pct15" w:color="auto" w:fill="FFFFFF"/>
        </w:rPr>
        <w:t>job_table &lt;- job_table[order(-job_table$客户数), ]</w:t>
      </w:r>
    </w:p>
    <w:p w14:paraId="48E28917">
      <w:pPr>
        <w:spacing w:after="156"/>
        <w:ind w:firstLine="0" w:firstLineChars="0"/>
        <w:rPr>
          <w:shd w:val="pct15" w:color="auto" w:fill="FFFFFF"/>
        </w:rPr>
      </w:pPr>
      <w:r>
        <w:rPr>
          <w:shd w:val="pct15" w:color="auto" w:fill="FFFFFF"/>
        </w:rPr>
        <w:t>print(job_table)</w:t>
      </w:r>
    </w:p>
    <w:p w14:paraId="35B21B89">
      <w:pPr>
        <w:spacing w:after="156"/>
        <w:ind w:firstLine="0" w:firstLineChars="0"/>
        <w:rPr>
          <w:i/>
          <w:iCs/>
          <w:shd w:val="pct15" w:color="auto" w:fill="FFFFFF"/>
        </w:rPr>
      </w:pPr>
      <w:r>
        <w:rPr>
          <w:i/>
          <w:iCs/>
          <w:shd w:val="pct15" w:color="auto" w:fill="FFFFFF"/>
        </w:rPr>
        <w:t># 带占比的教育水平分布</w:t>
      </w:r>
    </w:p>
    <w:p w14:paraId="0CD72AFE">
      <w:pPr>
        <w:spacing w:after="156"/>
        <w:ind w:firstLine="0" w:firstLineChars="0"/>
        <w:rPr>
          <w:shd w:val="pct15" w:color="auto" w:fill="FFFFFF"/>
        </w:rPr>
      </w:pPr>
      <w:r>
        <w:rPr>
          <w:shd w:val="pct15" w:color="auto" w:fill="FFFFFF"/>
        </w:rPr>
        <w:t>edu_table$占比 &lt;- round(edu_table$客户数 / sum(edu_table$客户数) * 100, 2)</w:t>
      </w:r>
    </w:p>
    <w:p w14:paraId="35990C0B">
      <w:pPr>
        <w:spacing w:after="156"/>
        <w:ind w:firstLine="0" w:firstLineChars="0"/>
        <w:rPr>
          <w:shd w:val="pct15" w:color="auto" w:fill="FFFFFF"/>
        </w:rPr>
      </w:pPr>
      <w:r>
        <w:rPr>
          <w:shd w:val="pct15" w:color="auto" w:fill="FFFFFF"/>
        </w:rPr>
        <w:t>edu_table &lt;- edu_table[order(-edu_table$客户数), ]</w:t>
      </w:r>
    </w:p>
    <w:p w14:paraId="792869C8">
      <w:pPr>
        <w:spacing w:after="156"/>
        <w:ind w:firstLine="0" w:firstLineChars="0"/>
        <w:rPr>
          <w:shd w:val="pct15" w:color="auto" w:fill="FFFFFF"/>
        </w:rPr>
      </w:pPr>
      <w:r>
        <w:rPr>
          <w:shd w:val="pct15" w:color="auto" w:fill="FFFFFF"/>
        </w:rPr>
        <w:t>print(edu_table)</w:t>
      </w:r>
    </w:p>
    <w:p w14:paraId="7C00D4D7">
      <w:pPr>
        <w:spacing w:after="156"/>
        <w:ind w:firstLine="0" w:firstLineChars="0"/>
        <w:jc w:val="center"/>
        <w:rPr>
          <w:b/>
          <w:bCs/>
          <w:sz w:val="21"/>
          <w:szCs w:val="20"/>
        </w:rPr>
      </w:pPr>
      <w:r>
        <w:rPr>
          <w:b/>
          <w:bCs/>
          <w:sz w:val="21"/>
          <w:szCs w:val="20"/>
        </w:rPr>
        <w:drawing>
          <wp:inline distT="0" distB="0" distL="0" distR="0">
            <wp:extent cx="5274310" cy="3006725"/>
            <wp:effectExtent l="0" t="0" r="2540" b="3175"/>
            <wp:docPr id="93282588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25884" name="图片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006725"/>
                    </a:xfrm>
                    <a:prstGeom prst="rect">
                      <a:avLst/>
                    </a:prstGeom>
                    <a:noFill/>
                    <a:ln>
                      <a:noFill/>
                    </a:ln>
                  </pic:spPr>
                </pic:pic>
              </a:graphicData>
            </a:graphic>
          </wp:inline>
        </w:drawing>
      </w:r>
    </w:p>
    <w:p w14:paraId="2330F2F4">
      <w:pPr>
        <w:spacing w:after="156"/>
        <w:ind w:firstLine="0" w:firstLineChars="0"/>
        <w:jc w:val="center"/>
        <w:rPr>
          <w:b/>
          <w:bCs/>
          <w:sz w:val="21"/>
          <w:szCs w:val="20"/>
        </w:rPr>
      </w:pPr>
      <w:r>
        <w:rPr>
          <w:rFonts w:hint="eastAsia"/>
          <w:b/>
          <w:bCs/>
          <w:sz w:val="21"/>
          <w:szCs w:val="20"/>
        </w:rPr>
        <w:t>图2-4 查看</w:t>
      </w:r>
      <w:r>
        <w:rPr>
          <w:b/>
          <w:bCs/>
          <w:sz w:val="21"/>
          <w:szCs w:val="20"/>
        </w:rPr>
        <w:t>各职业和教育水平的客户数量分布</w:t>
      </w:r>
    </w:p>
    <w:p w14:paraId="22715F3A">
      <w:pPr>
        <w:spacing w:after="156"/>
        <w:ind w:firstLine="480"/>
      </w:pPr>
      <w:r>
        <w:rPr>
          <w:rFonts w:hint="eastAsia"/>
        </w:rPr>
        <w:t>各职业和教育水平的客户数量分布如表2-3</w:t>
      </w:r>
      <w:r>
        <w:rPr>
          <w:rFonts w:hint="eastAsia"/>
          <w:lang w:eastAsia="zh-CN"/>
        </w:rPr>
        <w:t>、</w:t>
      </w:r>
      <w:r>
        <w:rPr>
          <w:rFonts w:hint="eastAsia"/>
          <w:lang w:val="en-US" w:eastAsia="zh-CN"/>
        </w:rPr>
        <w:t>2-4</w:t>
      </w:r>
      <w:r>
        <w:rPr>
          <w:rFonts w:hint="eastAsia"/>
        </w:rPr>
        <w:t>所示。</w:t>
      </w:r>
    </w:p>
    <w:p w14:paraId="5F0A24B9">
      <w:pPr>
        <w:keepNext w:val="0"/>
        <w:keepLines w:val="0"/>
        <w:pageBreakBefore w:val="0"/>
        <w:widowControl w:val="0"/>
        <w:kinsoku/>
        <w:wordWrap/>
        <w:overflowPunct/>
        <w:topLinePunct w:val="0"/>
        <w:autoSpaceDE/>
        <w:autoSpaceDN/>
        <w:bidi w:val="0"/>
        <w:adjustRightInd/>
        <w:snapToGrid w:val="0"/>
        <w:spacing w:after="0" w:afterLines="0"/>
        <w:ind w:firstLine="0" w:firstLineChars="0"/>
        <w:jc w:val="center"/>
        <w:textAlignment w:val="auto"/>
        <w:rPr>
          <w:b/>
          <w:bCs/>
          <w:sz w:val="21"/>
          <w:szCs w:val="20"/>
        </w:rPr>
      </w:pPr>
      <w:r>
        <w:rPr>
          <w:rFonts w:hint="eastAsia"/>
          <w:b/>
          <w:bCs/>
          <w:sz w:val="21"/>
          <w:szCs w:val="20"/>
        </w:rPr>
        <w:t>表2-3 职业客户数分布</w:t>
      </w:r>
    </w:p>
    <w:tbl>
      <w:tblPr>
        <w:tblStyle w:val="19"/>
        <w:tblW w:w="52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7"/>
        <w:gridCol w:w="2107"/>
        <w:gridCol w:w="2831"/>
      </w:tblGrid>
      <w:tr w14:paraId="2B0FF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tcBorders>
              <w:top w:val="single" w:color="000000" w:sz="12" w:space="0"/>
              <w:bottom w:val="single" w:color="000000" w:sz="6" w:space="0"/>
            </w:tcBorders>
            <w:vAlign w:val="center"/>
          </w:tcPr>
          <w:p w14:paraId="23B77FD2">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职业</w:t>
            </w:r>
          </w:p>
        </w:tc>
        <w:tc>
          <w:tcPr>
            <w:tcW w:w="1188" w:type="pct"/>
            <w:tcBorders>
              <w:top w:val="single" w:color="000000" w:sz="12" w:space="0"/>
              <w:bottom w:val="single" w:color="000000" w:sz="6" w:space="0"/>
            </w:tcBorders>
            <w:vAlign w:val="center"/>
          </w:tcPr>
          <w:p w14:paraId="51AF525C">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客户数</w:t>
            </w:r>
          </w:p>
        </w:tc>
        <w:tc>
          <w:tcPr>
            <w:tcW w:w="1596" w:type="pct"/>
            <w:tcBorders>
              <w:top w:val="single" w:color="000000" w:sz="12" w:space="0"/>
              <w:bottom w:val="single" w:color="000000" w:sz="6" w:space="0"/>
            </w:tcBorders>
            <w:vAlign w:val="center"/>
          </w:tcPr>
          <w:p w14:paraId="4DF780A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占比（%）</w:t>
            </w:r>
          </w:p>
        </w:tc>
      </w:tr>
      <w:tr w14:paraId="7F523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tcBorders>
              <w:top w:val="single" w:color="000000" w:sz="6" w:space="0"/>
            </w:tcBorders>
            <w:vAlign w:val="center"/>
          </w:tcPr>
          <w:p w14:paraId="7F908BC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blue-collar</w:t>
            </w:r>
          </w:p>
        </w:tc>
        <w:tc>
          <w:tcPr>
            <w:tcW w:w="1188" w:type="pct"/>
            <w:tcBorders>
              <w:top w:val="single" w:color="000000" w:sz="6" w:space="0"/>
            </w:tcBorders>
            <w:vAlign w:val="center"/>
          </w:tcPr>
          <w:p w14:paraId="674FC3FC">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9732</w:t>
            </w:r>
          </w:p>
        </w:tc>
        <w:tc>
          <w:tcPr>
            <w:tcW w:w="1596" w:type="pct"/>
            <w:tcBorders>
              <w:top w:val="single" w:color="000000" w:sz="6" w:space="0"/>
            </w:tcBorders>
            <w:vAlign w:val="center"/>
          </w:tcPr>
          <w:p w14:paraId="7A1E8145">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21.53</w:t>
            </w:r>
          </w:p>
        </w:tc>
      </w:tr>
      <w:tr w14:paraId="20E46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vAlign w:val="center"/>
          </w:tcPr>
          <w:p w14:paraId="0FD72AF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management</w:t>
            </w:r>
          </w:p>
        </w:tc>
        <w:tc>
          <w:tcPr>
            <w:tcW w:w="1188" w:type="pct"/>
            <w:vAlign w:val="center"/>
          </w:tcPr>
          <w:p w14:paraId="4C977C3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9458</w:t>
            </w:r>
          </w:p>
        </w:tc>
        <w:tc>
          <w:tcPr>
            <w:tcW w:w="1596" w:type="pct"/>
            <w:vAlign w:val="center"/>
          </w:tcPr>
          <w:p w14:paraId="6A858FA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20.92</w:t>
            </w:r>
          </w:p>
        </w:tc>
      </w:tr>
      <w:tr w14:paraId="627D4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vAlign w:val="center"/>
          </w:tcPr>
          <w:p w14:paraId="754AEF6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technician</w:t>
            </w:r>
          </w:p>
        </w:tc>
        <w:tc>
          <w:tcPr>
            <w:tcW w:w="1188" w:type="pct"/>
            <w:vAlign w:val="center"/>
          </w:tcPr>
          <w:p w14:paraId="56CFD27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7597</w:t>
            </w:r>
          </w:p>
        </w:tc>
        <w:tc>
          <w:tcPr>
            <w:tcW w:w="1596" w:type="pct"/>
            <w:vAlign w:val="center"/>
          </w:tcPr>
          <w:p w14:paraId="7DCAA733">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16.80</w:t>
            </w:r>
          </w:p>
        </w:tc>
      </w:tr>
      <w:tr w14:paraId="47728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vAlign w:val="center"/>
          </w:tcPr>
          <w:p w14:paraId="7BF2B00E">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admin.</w:t>
            </w:r>
          </w:p>
        </w:tc>
        <w:tc>
          <w:tcPr>
            <w:tcW w:w="1188" w:type="pct"/>
            <w:vAlign w:val="center"/>
          </w:tcPr>
          <w:p w14:paraId="2858FFED">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5171</w:t>
            </w:r>
          </w:p>
        </w:tc>
        <w:tc>
          <w:tcPr>
            <w:tcW w:w="1596" w:type="pct"/>
            <w:vAlign w:val="center"/>
          </w:tcPr>
          <w:p w14:paraId="795EDDDE">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11.44</w:t>
            </w:r>
          </w:p>
        </w:tc>
      </w:tr>
      <w:tr w14:paraId="3DC66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vAlign w:val="center"/>
          </w:tcPr>
          <w:p w14:paraId="0F73E4A2">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services</w:t>
            </w:r>
          </w:p>
        </w:tc>
        <w:tc>
          <w:tcPr>
            <w:tcW w:w="1188" w:type="pct"/>
            <w:vAlign w:val="center"/>
          </w:tcPr>
          <w:p w14:paraId="6C16E122">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4154</w:t>
            </w:r>
          </w:p>
        </w:tc>
        <w:tc>
          <w:tcPr>
            <w:tcW w:w="1596" w:type="pct"/>
            <w:vAlign w:val="center"/>
          </w:tcPr>
          <w:p w14:paraId="44C7BDB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9.19</w:t>
            </w:r>
          </w:p>
        </w:tc>
      </w:tr>
      <w:tr w14:paraId="17518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tcBorders>
              <w:bottom w:val="single" w:color="000000" w:sz="12" w:space="0"/>
            </w:tcBorders>
            <w:vAlign w:val="center"/>
          </w:tcPr>
          <w:p w14:paraId="7EE26601">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retired</w:t>
            </w:r>
          </w:p>
        </w:tc>
        <w:tc>
          <w:tcPr>
            <w:tcW w:w="1188" w:type="pct"/>
            <w:tcBorders>
              <w:bottom w:val="single" w:color="000000" w:sz="12" w:space="0"/>
            </w:tcBorders>
            <w:vAlign w:val="center"/>
          </w:tcPr>
          <w:p w14:paraId="4E7020C9">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2264</w:t>
            </w:r>
          </w:p>
        </w:tc>
        <w:tc>
          <w:tcPr>
            <w:tcW w:w="1596" w:type="pct"/>
            <w:tcBorders>
              <w:bottom w:val="single" w:color="000000" w:sz="12" w:space="0"/>
            </w:tcBorders>
            <w:vAlign w:val="center"/>
          </w:tcPr>
          <w:p w14:paraId="3EA69291">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5.01</w:t>
            </w:r>
          </w:p>
        </w:tc>
      </w:tr>
    </w:tbl>
    <w:p w14:paraId="33A39B6F">
      <w:pPr>
        <w:rPr>
          <w:rFonts w:hint="eastAsia"/>
          <w:b/>
          <w:bCs/>
          <w:sz w:val="21"/>
          <w:szCs w:val="20"/>
          <w:lang w:val="en-US" w:eastAsia="zh-CN"/>
        </w:rPr>
      </w:pPr>
      <w:r>
        <w:rPr>
          <w:rFonts w:hint="eastAsia"/>
          <w:b/>
          <w:bCs/>
          <w:sz w:val="21"/>
          <w:szCs w:val="20"/>
          <w:lang w:val="en-US" w:eastAsia="zh-CN"/>
        </w:rPr>
        <w:br w:type="page"/>
      </w:r>
    </w:p>
    <w:p w14:paraId="035FF576">
      <w:pPr>
        <w:keepNext w:val="0"/>
        <w:keepLines w:val="0"/>
        <w:pageBreakBefore w:val="0"/>
        <w:widowControl w:val="0"/>
        <w:kinsoku/>
        <w:wordWrap/>
        <w:overflowPunct/>
        <w:topLinePunct w:val="0"/>
        <w:autoSpaceDE/>
        <w:autoSpaceDN/>
        <w:bidi w:val="0"/>
        <w:adjustRightInd/>
        <w:snapToGrid w:val="0"/>
        <w:spacing w:after="0" w:afterLines="0"/>
        <w:ind w:firstLine="0" w:firstLineChars="0"/>
        <w:jc w:val="center"/>
        <w:textAlignment w:val="auto"/>
        <w:rPr>
          <w:rFonts w:hint="default" w:eastAsia="宋体"/>
          <w:b/>
          <w:bCs/>
          <w:sz w:val="21"/>
          <w:szCs w:val="20"/>
          <w:lang w:val="en-US" w:eastAsia="zh-CN"/>
        </w:rPr>
      </w:pPr>
      <w:r>
        <w:rPr>
          <w:rFonts w:hint="eastAsia"/>
          <w:b/>
          <w:bCs/>
          <w:sz w:val="21"/>
          <w:szCs w:val="20"/>
          <w:lang w:val="en-US" w:eastAsia="zh-CN"/>
        </w:rPr>
        <w:t>续</w:t>
      </w:r>
      <w:r>
        <w:rPr>
          <w:rFonts w:hint="eastAsia"/>
          <w:b/>
          <w:bCs/>
          <w:sz w:val="21"/>
          <w:szCs w:val="20"/>
        </w:rPr>
        <w:t>表2-3 职业客户数分布</w:t>
      </w:r>
    </w:p>
    <w:tbl>
      <w:tblPr>
        <w:tblStyle w:val="19"/>
        <w:tblW w:w="52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7"/>
        <w:gridCol w:w="2107"/>
        <w:gridCol w:w="2831"/>
      </w:tblGrid>
      <w:tr w14:paraId="1C532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tcBorders>
              <w:top w:val="single" w:color="000000" w:sz="12" w:space="0"/>
              <w:bottom w:val="single" w:color="000000" w:sz="6" w:space="0"/>
            </w:tcBorders>
            <w:vAlign w:val="center"/>
          </w:tcPr>
          <w:p w14:paraId="7493753C">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职业</w:t>
            </w:r>
          </w:p>
        </w:tc>
        <w:tc>
          <w:tcPr>
            <w:tcW w:w="1188" w:type="pct"/>
            <w:tcBorders>
              <w:top w:val="single" w:color="000000" w:sz="12" w:space="0"/>
              <w:bottom w:val="single" w:color="000000" w:sz="6" w:space="0"/>
            </w:tcBorders>
            <w:vAlign w:val="center"/>
          </w:tcPr>
          <w:p w14:paraId="49286250">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客户数</w:t>
            </w:r>
          </w:p>
        </w:tc>
        <w:tc>
          <w:tcPr>
            <w:tcW w:w="1596" w:type="pct"/>
            <w:tcBorders>
              <w:top w:val="single" w:color="000000" w:sz="12" w:space="0"/>
              <w:bottom w:val="single" w:color="000000" w:sz="6" w:space="0"/>
            </w:tcBorders>
            <w:vAlign w:val="center"/>
          </w:tcPr>
          <w:p w14:paraId="6D21CE13">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占比（%）</w:t>
            </w:r>
          </w:p>
        </w:tc>
      </w:tr>
      <w:tr w14:paraId="1C0AA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tcBorders>
              <w:top w:val="single" w:color="000000" w:sz="6" w:space="0"/>
            </w:tcBorders>
            <w:vAlign w:val="center"/>
          </w:tcPr>
          <w:p w14:paraId="69283D31">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self-employed</w:t>
            </w:r>
          </w:p>
        </w:tc>
        <w:tc>
          <w:tcPr>
            <w:tcW w:w="1188" w:type="pct"/>
            <w:tcBorders>
              <w:top w:val="single" w:color="000000" w:sz="6" w:space="0"/>
            </w:tcBorders>
            <w:vAlign w:val="center"/>
          </w:tcPr>
          <w:p w14:paraId="790C265D">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1579</w:t>
            </w:r>
          </w:p>
        </w:tc>
        <w:tc>
          <w:tcPr>
            <w:tcW w:w="1596" w:type="pct"/>
            <w:tcBorders>
              <w:top w:val="single" w:color="000000" w:sz="6" w:space="0"/>
            </w:tcBorders>
            <w:vAlign w:val="center"/>
          </w:tcPr>
          <w:p w14:paraId="3103611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3.49</w:t>
            </w:r>
          </w:p>
        </w:tc>
      </w:tr>
      <w:tr w14:paraId="17040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vAlign w:val="center"/>
          </w:tcPr>
          <w:p w14:paraId="22B0C18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entrepreneur</w:t>
            </w:r>
          </w:p>
        </w:tc>
        <w:tc>
          <w:tcPr>
            <w:tcW w:w="1188" w:type="pct"/>
            <w:vAlign w:val="center"/>
          </w:tcPr>
          <w:p w14:paraId="42D71E96">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1487</w:t>
            </w:r>
          </w:p>
        </w:tc>
        <w:tc>
          <w:tcPr>
            <w:tcW w:w="1596" w:type="pct"/>
            <w:vAlign w:val="center"/>
          </w:tcPr>
          <w:p w14:paraId="4312ECFD">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3.29</w:t>
            </w:r>
          </w:p>
        </w:tc>
      </w:tr>
      <w:tr w14:paraId="39C0B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vAlign w:val="center"/>
          </w:tcPr>
          <w:p w14:paraId="4D9BB6B9">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unemployed</w:t>
            </w:r>
          </w:p>
        </w:tc>
        <w:tc>
          <w:tcPr>
            <w:tcW w:w="1188" w:type="pct"/>
            <w:vAlign w:val="center"/>
          </w:tcPr>
          <w:p w14:paraId="7438877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1303</w:t>
            </w:r>
          </w:p>
        </w:tc>
        <w:tc>
          <w:tcPr>
            <w:tcW w:w="1596" w:type="pct"/>
            <w:vAlign w:val="center"/>
          </w:tcPr>
          <w:p w14:paraId="42B9F9C1">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2.88</w:t>
            </w:r>
          </w:p>
        </w:tc>
      </w:tr>
      <w:tr w14:paraId="08359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vAlign w:val="center"/>
          </w:tcPr>
          <w:p w14:paraId="26ABA49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housemaid</w:t>
            </w:r>
          </w:p>
        </w:tc>
        <w:tc>
          <w:tcPr>
            <w:tcW w:w="1188" w:type="pct"/>
            <w:vAlign w:val="center"/>
          </w:tcPr>
          <w:p w14:paraId="165E185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1240</w:t>
            </w:r>
          </w:p>
        </w:tc>
        <w:tc>
          <w:tcPr>
            <w:tcW w:w="1596" w:type="pct"/>
            <w:vAlign w:val="center"/>
          </w:tcPr>
          <w:p w14:paraId="4E76DCED">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2.74</w:t>
            </w:r>
          </w:p>
        </w:tc>
      </w:tr>
      <w:tr w14:paraId="69CB2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vAlign w:val="center"/>
          </w:tcPr>
          <w:p w14:paraId="076311F5">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student</w:t>
            </w:r>
          </w:p>
        </w:tc>
        <w:tc>
          <w:tcPr>
            <w:tcW w:w="1188" w:type="pct"/>
            <w:vAlign w:val="center"/>
          </w:tcPr>
          <w:p w14:paraId="676EE0F6">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938</w:t>
            </w:r>
          </w:p>
        </w:tc>
        <w:tc>
          <w:tcPr>
            <w:tcW w:w="1596" w:type="pct"/>
            <w:vAlign w:val="center"/>
          </w:tcPr>
          <w:p w14:paraId="5D897CD3">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2.07</w:t>
            </w:r>
          </w:p>
        </w:tc>
      </w:tr>
      <w:tr w14:paraId="4B4AA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67" w:hRule="atLeast"/>
        </w:trPr>
        <w:tc>
          <w:tcPr>
            <w:tcW w:w="2214" w:type="pct"/>
            <w:tcBorders>
              <w:bottom w:val="single" w:color="000000" w:sz="12" w:space="0"/>
            </w:tcBorders>
            <w:vAlign w:val="center"/>
          </w:tcPr>
          <w:p w14:paraId="22C85A29">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unknown</w:t>
            </w:r>
          </w:p>
        </w:tc>
        <w:tc>
          <w:tcPr>
            <w:tcW w:w="1188" w:type="pct"/>
            <w:tcBorders>
              <w:bottom w:val="single" w:color="000000" w:sz="12" w:space="0"/>
            </w:tcBorders>
            <w:vAlign w:val="center"/>
          </w:tcPr>
          <w:p w14:paraId="355F1D56">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288</w:t>
            </w:r>
          </w:p>
        </w:tc>
        <w:tc>
          <w:tcPr>
            <w:tcW w:w="1596" w:type="pct"/>
            <w:tcBorders>
              <w:bottom w:val="single" w:color="000000" w:sz="12" w:space="0"/>
            </w:tcBorders>
            <w:vAlign w:val="center"/>
          </w:tcPr>
          <w:p w14:paraId="7E18998C">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0.64</w:t>
            </w:r>
          </w:p>
        </w:tc>
      </w:tr>
    </w:tbl>
    <w:p w14:paraId="43D5667B">
      <w:pPr>
        <w:spacing w:after="156"/>
        <w:ind w:firstLine="0" w:firstLineChars="0"/>
        <w:jc w:val="center"/>
        <w:rPr>
          <w:rFonts w:hint="eastAsia"/>
          <w:b/>
          <w:bCs/>
          <w:sz w:val="21"/>
          <w:szCs w:val="20"/>
        </w:rPr>
      </w:pPr>
    </w:p>
    <w:p w14:paraId="588D74D4">
      <w:pPr>
        <w:keepNext w:val="0"/>
        <w:keepLines w:val="0"/>
        <w:pageBreakBefore w:val="0"/>
        <w:widowControl w:val="0"/>
        <w:kinsoku/>
        <w:wordWrap/>
        <w:overflowPunct/>
        <w:topLinePunct w:val="0"/>
        <w:autoSpaceDE/>
        <w:autoSpaceDN/>
        <w:bidi w:val="0"/>
        <w:adjustRightInd/>
        <w:snapToGrid w:val="0"/>
        <w:spacing w:after="0" w:afterLines="0"/>
        <w:ind w:firstLine="0" w:firstLineChars="0"/>
        <w:jc w:val="center"/>
        <w:textAlignment w:val="auto"/>
        <w:rPr>
          <w:b/>
          <w:bCs/>
          <w:sz w:val="21"/>
          <w:szCs w:val="20"/>
        </w:rPr>
      </w:pPr>
      <w:r>
        <w:rPr>
          <w:rFonts w:hint="eastAsia"/>
          <w:b/>
          <w:bCs/>
          <w:sz w:val="21"/>
          <w:szCs w:val="20"/>
        </w:rPr>
        <w:t>表2-4 教育水平客户数分布</w:t>
      </w:r>
    </w:p>
    <w:tbl>
      <w:tblPr>
        <w:tblStyle w:val="19"/>
        <w:tblW w:w="52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9"/>
        <w:gridCol w:w="2439"/>
        <w:gridCol w:w="3347"/>
      </w:tblGrid>
      <w:tr w14:paraId="7359E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tcBorders>
              <w:top w:val="single" w:color="000000" w:sz="12" w:space="0"/>
              <w:bottom w:val="single" w:color="000000" w:sz="6" w:space="0"/>
            </w:tcBorders>
            <w:vAlign w:val="center"/>
          </w:tcPr>
          <w:p w14:paraId="2CBEEB9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教育水平</w:t>
            </w:r>
          </w:p>
        </w:tc>
        <w:tc>
          <w:tcPr>
            <w:tcW w:w="0" w:type="auto"/>
            <w:tcBorders>
              <w:top w:val="single" w:color="000000" w:sz="12" w:space="0"/>
              <w:bottom w:val="single" w:color="000000" w:sz="6" w:space="0"/>
            </w:tcBorders>
            <w:vAlign w:val="center"/>
          </w:tcPr>
          <w:p w14:paraId="3360517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客户数</w:t>
            </w:r>
          </w:p>
        </w:tc>
        <w:tc>
          <w:tcPr>
            <w:tcW w:w="0" w:type="auto"/>
            <w:tcBorders>
              <w:top w:val="single" w:color="000000" w:sz="12" w:space="0"/>
              <w:bottom w:val="single" w:color="000000" w:sz="6" w:space="0"/>
            </w:tcBorders>
            <w:vAlign w:val="center"/>
          </w:tcPr>
          <w:p w14:paraId="11227E7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占比（%）</w:t>
            </w:r>
          </w:p>
        </w:tc>
      </w:tr>
      <w:tr w14:paraId="1DD32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tcBorders>
              <w:top w:val="single" w:color="000000" w:sz="6" w:space="0"/>
            </w:tcBorders>
            <w:vAlign w:val="center"/>
          </w:tcPr>
          <w:p w14:paraId="5AE8FB72">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secondary</w:t>
            </w:r>
          </w:p>
        </w:tc>
        <w:tc>
          <w:tcPr>
            <w:tcW w:w="0" w:type="auto"/>
            <w:tcBorders>
              <w:top w:val="single" w:color="000000" w:sz="6" w:space="0"/>
            </w:tcBorders>
            <w:vAlign w:val="center"/>
          </w:tcPr>
          <w:p w14:paraId="37033256">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23202</w:t>
            </w:r>
          </w:p>
        </w:tc>
        <w:tc>
          <w:tcPr>
            <w:tcW w:w="0" w:type="auto"/>
            <w:tcBorders>
              <w:top w:val="single" w:color="000000" w:sz="6" w:space="0"/>
            </w:tcBorders>
            <w:vAlign w:val="center"/>
          </w:tcPr>
          <w:p w14:paraId="10AED2A1">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51.32</w:t>
            </w:r>
          </w:p>
        </w:tc>
      </w:tr>
      <w:tr w14:paraId="7133F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vAlign w:val="center"/>
          </w:tcPr>
          <w:p w14:paraId="48569136">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tertiary</w:t>
            </w:r>
          </w:p>
        </w:tc>
        <w:tc>
          <w:tcPr>
            <w:tcW w:w="0" w:type="auto"/>
            <w:vAlign w:val="center"/>
          </w:tcPr>
          <w:p w14:paraId="3C0D9FA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13301</w:t>
            </w:r>
          </w:p>
        </w:tc>
        <w:tc>
          <w:tcPr>
            <w:tcW w:w="0" w:type="auto"/>
            <w:vAlign w:val="center"/>
          </w:tcPr>
          <w:p w14:paraId="71B2BE1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29.42</w:t>
            </w:r>
          </w:p>
        </w:tc>
      </w:tr>
      <w:tr w14:paraId="4B912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vAlign w:val="center"/>
          </w:tcPr>
          <w:p w14:paraId="7170BF3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primary</w:t>
            </w:r>
          </w:p>
        </w:tc>
        <w:tc>
          <w:tcPr>
            <w:tcW w:w="0" w:type="auto"/>
            <w:vAlign w:val="center"/>
          </w:tcPr>
          <w:p w14:paraId="0D641512">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6851</w:t>
            </w:r>
          </w:p>
        </w:tc>
        <w:tc>
          <w:tcPr>
            <w:tcW w:w="0" w:type="auto"/>
            <w:vAlign w:val="center"/>
          </w:tcPr>
          <w:p w14:paraId="53890BA9">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15.15</w:t>
            </w:r>
          </w:p>
        </w:tc>
      </w:tr>
      <w:tr w14:paraId="25DA9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0" w:type="auto"/>
            <w:tcBorders>
              <w:bottom w:val="single" w:color="000000" w:sz="12" w:space="0"/>
            </w:tcBorders>
            <w:vAlign w:val="center"/>
          </w:tcPr>
          <w:p w14:paraId="1BA2A83D">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unknown</w:t>
            </w:r>
          </w:p>
        </w:tc>
        <w:tc>
          <w:tcPr>
            <w:tcW w:w="0" w:type="auto"/>
            <w:tcBorders>
              <w:bottom w:val="single" w:color="000000" w:sz="12" w:space="0"/>
            </w:tcBorders>
            <w:vAlign w:val="center"/>
          </w:tcPr>
          <w:p w14:paraId="4A1CEB40">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1857</w:t>
            </w:r>
          </w:p>
        </w:tc>
        <w:tc>
          <w:tcPr>
            <w:tcW w:w="0" w:type="auto"/>
            <w:tcBorders>
              <w:bottom w:val="single" w:color="000000" w:sz="12" w:space="0"/>
            </w:tcBorders>
            <w:vAlign w:val="center"/>
          </w:tcPr>
          <w:p w14:paraId="5279CDD7">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4.11</w:t>
            </w:r>
          </w:p>
        </w:tc>
      </w:tr>
    </w:tbl>
    <w:p w14:paraId="54BE6216">
      <w:pPr>
        <w:spacing w:after="156"/>
        <w:ind w:firstLine="0" w:firstLineChars="0"/>
        <w:rPr>
          <w:sz w:val="21"/>
          <w:szCs w:val="20"/>
        </w:rPr>
      </w:pPr>
    </w:p>
    <w:p w14:paraId="0909B26D">
      <w:pPr>
        <w:spacing w:after="156"/>
        <w:ind w:firstLine="480"/>
      </w:pPr>
      <w:r>
        <w:rPr>
          <w:rFonts w:hint="eastAsia"/>
        </w:rPr>
        <w:t>从表2-3、2-4可以观察到：</w:t>
      </w:r>
    </w:p>
    <w:p w14:paraId="52D35341">
      <w:pPr>
        <w:spacing w:after="156"/>
        <w:ind w:firstLine="480"/>
      </w:pPr>
      <w:r>
        <w:rPr>
          <w:rFonts w:hint="eastAsia"/>
        </w:rPr>
        <w:t>（1）职业分布：蓝领（blue-collar）、管理岗（management）和技术岗（technician）是客户数量最多的三类职业，合计占比约59%。这意味着在后续帕累托图中，这三类职业贡献较高的订阅量，既可能源于“高响应率”，也可能源于“高基数”。分析时需注意区分这两种效应。</w:t>
      </w:r>
    </w:p>
    <w:p w14:paraId="73F015A8">
      <w:pPr>
        <w:spacing w:after="156"/>
        <w:ind w:firstLine="480"/>
      </w:pPr>
      <w:r>
        <w:rPr>
          <w:rFonts w:hint="eastAsia"/>
        </w:rPr>
        <w:t>（2）教育水平分布：中等教育（secondary）客户占比超过51%，是绝对主体；高等教育（tertiary）占比约29%，初等教育（primary）占比约15%。这一分布结构将作为后续教育水平与订阅率分析的基准参照。</w:t>
      </w:r>
    </w:p>
    <w:p w14:paraId="0123E739">
      <w:pPr>
        <w:pStyle w:val="3"/>
        <w:spacing w:before="249" w:after="156"/>
      </w:pPr>
      <w:bookmarkStart w:id="12" w:name="_Toc229391193"/>
      <w:r>
        <w:t>2.</w:t>
      </w:r>
      <w:r>
        <w:rPr>
          <w:rFonts w:hint="eastAsia"/>
        </w:rPr>
        <w:t>4</w:t>
      </w:r>
      <w:r>
        <w:t xml:space="preserve"> 数据预处理（R语言实现）</w:t>
      </w:r>
      <w:bookmarkEnd w:id="12"/>
    </w:p>
    <w:p w14:paraId="5FB5C2FA">
      <w:pPr>
        <w:spacing w:after="156"/>
        <w:ind w:firstLine="480"/>
      </w:pPr>
      <w:r>
        <w:rPr>
          <w:rFonts w:hint="eastAsia"/>
        </w:rPr>
        <w:t>为了保证分析结果的准确性和对原始数据特征的充分提取，必须进行数据清洗与变量衍化</w:t>
      </w:r>
      <w:r>
        <w:rPr>
          <w:vertAlign w:val="superscript"/>
        </w:rPr>
        <w:fldChar w:fldCharType="begin"/>
      </w:r>
      <w:r>
        <w:rPr>
          <w:vertAlign w:val="superscript"/>
        </w:rPr>
        <w:instrText xml:space="preserve"> </w:instrText>
      </w:r>
      <w:r>
        <w:rPr>
          <w:rFonts w:hint="eastAsia"/>
          <w:vertAlign w:val="superscript"/>
        </w:rPr>
        <w:instrText xml:space="preserve">REF _Ref229352107 \r \h</w:instrText>
      </w:r>
      <w:r>
        <w:rPr>
          <w:vertAlign w:val="superscript"/>
        </w:rPr>
        <w:instrText xml:space="preserve">  \* MERGEFORMAT </w:instrText>
      </w:r>
      <w:r>
        <w:rPr>
          <w:vertAlign w:val="superscript"/>
        </w:rPr>
        <w:fldChar w:fldCharType="separate"/>
      </w:r>
      <w:r>
        <w:rPr>
          <w:vertAlign w:val="superscript"/>
        </w:rPr>
        <w:t>[3]</w:t>
      </w:r>
      <w:r>
        <w:rPr>
          <w:vertAlign w:val="superscript"/>
        </w:rPr>
        <w:fldChar w:fldCharType="end"/>
      </w:r>
      <w:r>
        <w:rPr>
          <w:rFonts w:hint="eastAsia"/>
        </w:rPr>
        <w:t>。以下是完整的预处理代码及关键执行结果。</w:t>
      </w:r>
    </w:p>
    <w:p w14:paraId="596A1E9E">
      <w:pPr>
        <w:pStyle w:val="4"/>
        <w:spacing w:after="156"/>
        <w:ind w:firstLine="482"/>
      </w:pPr>
      <w:bookmarkStart w:id="13" w:name="_Toc229391194"/>
      <w:r>
        <w:rPr>
          <w:rFonts w:hint="eastAsia"/>
        </w:rPr>
        <w:t>2.4.1 Step 1：读取数据与环境配置</w:t>
      </w:r>
      <w:bookmarkEnd w:id="13"/>
    </w:p>
    <w:p w14:paraId="71FDC788">
      <w:pPr>
        <w:spacing w:after="156"/>
        <w:ind w:firstLine="0" w:firstLineChars="0"/>
        <w:rPr>
          <w:i/>
          <w:iCs/>
          <w:shd w:val="pct15" w:color="auto" w:fill="FFFFFF"/>
        </w:rPr>
      </w:pPr>
      <w:r>
        <w:rPr>
          <w:rFonts w:hint="eastAsia"/>
          <w:i/>
          <w:iCs/>
          <w:shd w:val="pct15" w:color="auto" w:fill="FFFFFF"/>
        </w:rPr>
        <w:t># 设置工作路径（请根据实际位置修改）</w:t>
      </w:r>
    </w:p>
    <w:p w14:paraId="3F58341C">
      <w:pPr>
        <w:spacing w:after="156"/>
        <w:ind w:firstLine="0" w:firstLineChars="0"/>
        <w:rPr>
          <w:shd w:val="pct15" w:color="auto" w:fill="FFFFFF"/>
        </w:rPr>
      </w:pPr>
      <w:r>
        <w:rPr>
          <w:rFonts w:hint="eastAsia"/>
          <w:shd w:val="pct15" w:color="auto" w:fill="FFFFFF"/>
        </w:rPr>
        <w:t>setwd("C:/Users/22814/Desktop/BankMarketing_Analysis/data")</w:t>
      </w:r>
    </w:p>
    <w:p w14:paraId="35D3EC0A">
      <w:pPr>
        <w:spacing w:after="156"/>
        <w:ind w:firstLine="0" w:firstLineChars="0"/>
        <w:rPr>
          <w:i/>
          <w:iCs/>
          <w:shd w:val="pct15" w:color="auto" w:fill="FFFFFF"/>
        </w:rPr>
      </w:pPr>
      <w:r>
        <w:rPr>
          <w:rFonts w:hint="eastAsia"/>
          <w:i/>
          <w:iCs/>
          <w:shd w:val="pct15" w:color="auto" w:fill="FFFFFF"/>
        </w:rPr>
        <w:t># 读取数据（注意分隔符为分号，而非逗号）</w:t>
      </w:r>
    </w:p>
    <w:p w14:paraId="572573FB">
      <w:pPr>
        <w:spacing w:after="156"/>
        <w:ind w:firstLine="0" w:firstLineChars="0"/>
        <w:rPr>
          <w:shd w:val="pct15" w:color="auto" w:fill="FFFFFF"/>
        </w:rPr>
      </w:pPr>
      <w:r>
        <w:rPr>
          <w:shd w:val="pct15" w:color="auto" w:fill="FFFFFF"/>
        </w:rPr>
        <w:t>bank_data &lt;- read.csv("data/bank-full.csv", sep = ";", stringsAsFactors = FALSE)</w:t>
      </w:r>
    </w:p>
    <w:p w14:paraId="378E18DA">
      <w:pPr>
        <w:spacing w:after="156"/>
        <w:ind w:firstLine="0" w:firstLineChars="0"/>
        <w:jc w:val="center"/>
      </w:pPr>
      <w:r>
        <w:drawing>
          <wp:inline distT="0" distB="0" distL="0" distR="0">
            <wp:extent cx="5259070" cy="2381250"/>
            <wp:effectExtent l="0" t="0" r="0" b="0"/>
            <wp:docPr id="29216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6085"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l="-1" r="683"/>
                    <a:stretch>
                      <a:fillRect/>
                    </a:stretch>
                  </pic:blipFill>
                  <pic:spPr>
                    <a:xfrm>
                      <a:off x="0" y="0"/>
                      <a:ext cx="5286795" cy="2393678"/>
                    </a:xfrm>
                    <a:prstGeom prst="rect">
                      <a:avLst/>
                    </a:prstGeom>
                    <a:noFill/>
                    <a:ln>
                      <a:noFill/>
                    </a:ln>
                  </pic:spPr>
                </pic:pic>
              </a:graphicData>
            </a:graphic>
          </wp:inline>
        </w:drawing>
      </w:r>
    </w:p>
    <w:p w14:paraId="2925C4E3">
      <w:pPr>
        <w:spacing w:after="156"/>
        <w:ind w:firstLine="0" w:firstLineChars="0"/>
        <w:jc w:val="center"/>
        <w:rPr>
          <w:b/>
          <w:bCs/>
          <w:sz w:val="21"/>
          <w:szCs w:val="20"/>
        </w:rPr>
      </w:pPr>
      <w:r>
        <w:rPr>
          <w:rFonts w:hint="eastAsia"/>
          <w:b/>
          <w:bCs/>
          <w:sz w:val="21"/>
          <w:szCs w:val="20"/>
        </w:rPr>
        <w:t>图2-5 工作路径与读取数据</w:t>
      </w:r>
    </w:p>
    <w:p w14:paraId="4ABDCE9D">
      <w:pPr>
        <w:spacing w:after="156"/>
        <w:ind w:firstLine="0" w:firstLineChars="0"/>
        <w:jc w:val="center"/>
        <w:rPr>
          <w:b/>
          <w:bCs/>
          <w:sz w:val="21"/>
          <w:szCs w:val="20"/>
        </w:rPr>
      </w:pPr>
      <w:r>
        <w:rPr>
          <w:b/>
          <w:bCs/>
          <w:sz w:val="21"/>
          <w:szCs w:val="20"/>
        </w:rPr>
        <w:drawing>
          <wp:inline distT="0" distB="0" distL="0" distR="0">
            <wp:extent cx="5274310" cy="2166620"/>
            <wp:effectExtent l="0" t="0" r="2540" b="5080"/>
            <wp:docPr id="16031460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46039"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2166620"/>
                    </a:xfrm>
                    <a:prstGeom prst="rect">
                      <a:avLst/>
                    </a:prstGeom>
                    <a:noFill/>
                    <a:ln>
                      <a:noFill/>
                    </a:ln>
                  </pic:spPr>
                </pic:pic>
              </a:graphicData>
            </a:graphic>
          </wp:inline>
        </w:drawing>
      </w:r>
    </w:p>
    <w:p w14:paraId="5C9E5F55">
      <w:pPr>
        <w:spacing w:after="156"/>
        <w:ind w:firstLine="0" w:firstLineChars="0"/>
        <w:jc w:val="center"/>
        <w:rPr>
          <w:b/>
          <w:bCs/>
          <w:sz w:val="21"/>
          <w:szCs w:val="20"/>
        </w:rPr>
      </w:pPr>
      <w:r>
        <w:rPr>
          <w:rFonts w:hint="eastAsia"/>
          <w:b/>
          <w:bCs/>
          <w:sz w:val="21"/>
          <w:szCs w:val="20"/>
        </w:rPr>
        <w:t>图2-6 环境配置</w:t>
      </w:r>
    </w:p>
    <w:p w14:paraId="302C61DB">
      <w:pPr>
        <w:pStyle w:val="4"/>
        <w:spacing w:after="156"/>
        <w:ind w:firstLine="482"/>
        <w:rPr>
          <w:bCs/>
        </w:rPr>
      </w:pPr>
      <w:bookmarkStart w:id="14" w:name="_Toc229391195"/>
      <w:r>
        <w:rPr>
          <w:rFonts w:hint="eastAsia"/>
        </w:rPr>
        <w:t xml:space="preserve">2.4.2 </w:t>
      </w:r>
      <w:r>
        <w:rPr>
          <w:bCs/>
        </w:rPr>
        <w:t>Step 2：数据概览与清洗</w:t>
      </w:r>
      <w:bookmarkEnd w:id="14"/>
    </w:p>
    <w:p w14:paraId="6EA604D8">
      <w:pPr>
        <w:spacing w:after="156"/>
        <w:ind w:firstLine="0" w:firstLineChars="0"/>
        <w:rPr>
          <w:i/>
          <w:iCs/>
          <w:shd w:val="pct15" w:color="auto" w:fill="FFFFFF"/>
        </w:rPr>
      </w:pPr>
      <w:r>
        <w:rPr>
          <w:rFonts w:hint="eastAsia"/>
          <w:i/>
          <w:iCs/>
          <w:shd w:val="pct15" w:color="auto" w:fill="FFFFFF"/>
        </w:rPr>
        <w:t># 查看数据结构，确认无空值</w:t>
      </w:r>
    </w:p>
    <w:p w14:paraId="1FCC914F">
      <w:pPr>
        <w:spacing w:after="156"/>
        <w:ind w:firstLine="0" w:firstLineChars="0"/>
        <w:rPr>
          <w:shd w:val="pct15" w:color="auto" w:fill="FFFFFF"/>
        </w:rPr>
      </w:pPr>
      <w:r>
        <w:rPr>
          <w:shd w:val="pct15" w:color="auto" w:fill="FFFFFF"/>
        </w:rPr>
        <w:t>str(bank_data)</w:t>
      </w:r>
    </w:p>
    <w:p w14:paraId="05EF41AB">
      <w:pPr>
        <w:spacing w:after="156"/>
        <w:ind w:firstLine="0" w:firstLineChars="0"/>
        <w:rPr>
          <w:i/>
          <w:iCs/>
          <w:shd w:val="pct15" w:color="auto" w:fill="FFFFFF"/>
        </w:rPr>
      </w:pPr>
      <w:r>
        <w:rPr>
          <w:rFonts w:hint="eastAsia"/>
          <w:i/>
          <w:iCs/>
          <w:shd w:val="pct15" w:color="auto" w:fill="FFFFFF"/>
        </w:rPr>
        <w:t># 查看目标变量分布，了解样本不平衡情况</w:t>
      </w:r>
    </w:p>
    <w:p w14:paraId="4F7E5981">
      <w:pPr>
        <w:spacing w:after="156"/>
        <w:ind w:firstLine="0" w:firstLineChars="0"/>
        <w:rPr>
          <w:shd w:val="pct15" w:color="auto" w:fill="FFFFFF"/>
        </w:rPr>
      </w:pPr>
      <w:r>
        <w:rPr>
          <w:shd w:val="pct15" w:color="auto" w:fill="FFFFFF"/>
        </w:rPr>
        <w:t>table(bank_data$y)</w:t>
      </w:r>
    </w:p>
    <w:p w14:paraId="3AED5BB1">
      <w:pPr>
        <w:spacing w:after="156"/>
        <w:ind w:firstLine="0" w:firstLineChars="0"/>
        <w:jc w:val="center"/>
      </w:pPr>
      <w:r>
        <w:drawing>
          <wp:inline distT="0" distB="0" distL="0" distR="0">
            <wp:extent cx="5274310" cy="2595880"/>
            <wp:effectExtent l="0" t="0" r="2540" b="0"/>
            <wp:docPr id="13065763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6327" name="图片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2595880"/>
                    </a:xfrm>
                    <a:prstGeom prst="rect">
                      <a:avLst/>
                    </a:prstGeom>
                    <a:noFill/>
                    <a:ln>
                      <a:noFill/>
                    </a:ln>
                  </pic:spPr>
                </pic:pic>
              </a:graphicData>
            </a:graphic>
          </wp:inline>
        </w:drawing>
      </w:r>
    </w:p>
    <w:p w14:paraId="120D678E">
      <w:pPr>
        <w:spacing w:after="156"/>
        <w:ind w:firstLine="0" w:firstLineChars="0"/>
        <w:jc w:val="center"/>
        <w:rPr>
          <w:b/>
          <w:bCs/>
          <w:sz w:val="21"/>
          <w:szCs w:val="20"/>
        </w:rPr>
      </w:pPr>
      <w:r>
        <w:rPr>
          <w:rFonts w:hint="eastAsia"/>
          <w:b/>
          <w:bCs/>
          <w:sz w:val="21"/>
          <w:szCs w:val="20"/>
        </w:rPr>
        <w:t>图2-7 查看数据结构和目标变量分布</w:t>
      </w:r>
    </w:p>
    <w:p w14:paraId="1E364F35">
      <w:pPr>
        <w:spacing w:after="156"/>
        <w:ind w:firstLine="0" w:firstLineChars="0"/>
        <w:jc w:val="center"/>
        <w:rPr>
          <w:b/>
          <w:bCs/>
          <w:sz w:val="21"/>
          <w:szCs w:val="20"/>
        </w:rPr>
      </w:pPr>
      <w:r>
        <w:rPr>
          <w:b/>
          <w:bCs/>
          <w:sz w:val="21"/>
          <w:szCs w:val="20"/>
        </w:rPr>
        <w:drawing>
          <wp:inline distT="0" distB="0" distL="0" distR="0">
            <wp:extent cx="5274310" cy="1610995"/>
            <wp:effectExtent l="0" t="0" r="2540" b="8255"/>
            <wp:docPr id="5928312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31251" name="图片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1610995"/>
                    </a:xfrm>
                    <a:prstGeom prst="rect">
                      <a:avLst/>
                    </a:prstGeom>
                    <a:noFill/>
                    <a:ln>
                      <a:noFill/>
                    </a:ln>
                  </pic:spPr>
                </pic:pic>
              </a:graphicData>
            </a:graphic>
          </wp:inline>
        </w:drawing>
      </w:r>
    </w:p>
    <w:p w14:paraId="186E4F71">
      <w:pPr>
        <w:spacing w:after="156"/>
        <w:ind w:firstLine="0" w:firstLineChars="0"/>
        <w:jc w:val="center"/>
        <w:rPr>
          <w:b/>
          <w:bCs/>
          <w:sz w:val="21"/>
          <w:szCs w:val="20"/>
        </w:rPr>
      </w:pPr>
      <w:r>
        <w:rPr>
          <w:rFonts w:hint="eastAsia"/>
          <w:b/>
          <w:bCs/>
          <w:sz w:val="21"/>
          <w:szCs w:val="20"/>
        </w:rPr>
        <w:t>图2-8 数据概览预览</w:t>
      </w:r>
    </w:p>
    <w:p w14:paraId="5C1005A7">
      <w:pPr>
        <w:pStyle w:val="4"/>
        <w:spacing w:after="156"/>
        <w:ind w:firstLine="482"/>
        <w:rPr>
          <w:bCs/>
        </w:rPr>
      </w:pPr>
      <w:bookmarkStart w:id="15" w:name="_Toc229391196"/>
      <w:r>
        <w:rPr>
          <w:rFonts w:hint="eastAsia"/>
          <w:bCs/>
        </w:rPr>
        <w:t xml:space="preserve">2.4.3 </w:t>
      </w:r>
      <w:r>
        <w:rPr>
          <w:bCs/>
        </w:rPr>
        <w:t>Step 3：数据工程与变量衍生</w:t>
      </w:r>
      <w:bookmarkEnd w:id="15"/>
    </w:p>
    <w:p w14:paraId="6C6EFD10">
      <w:pPr>
        <w:spacing w:after="156"/>
        <w:ind w:firstLine="0" w:firstLineChars="0"/>
        <w:jc w:val="left"/>
        <w:rPr>
          <w:i/>
          <w:iCs/>
          <w:shd w:val="pct15" w:color="auto" w:fill="FFFFFF"/>
        </w:rPr>
      </w:pPr>
      <w:r>
        <w:rPr>
          <w:rFonts w:hint="eastAsia"/>
          <w:i/>
          <w:iCs/>
          <w:shd w:val="pct15" w:color="auto" w:fill="FFFFFF"/>
        </w:rPr>
        <w:t># 将目标变量 y 转为数值型（0/1）</w:t>
      </w:r>
    </w:p>
    <w:p w14:paraId="0C1F4796">
      <w:pPr>
        <w:spacing w:after="156"/>
        <w:ind w:firstLine="0" w:firstLineChars="0"/>
        <w:jc w:val="left"/>
        <w:rPr>
          <w:shd w:val="pct15" w:color="auto" w:fill="FFFFFF"/>
        </w:rPr>
      </w:pPr>
      <w:r>
        <w:rPr>
          <w:shd w:val="pct15" w:color="auto" w:fill="FFFFFF"/>
        </w:rPr>
        <w:t>bank_data$y_num &lt;- ifelse(bank_data$y == "yes", 1, 0)</w:t>
      </w:r>
    </w:p>
    <w:p w14:paraId="270A0DF3">
      <w:pPr>
        <w:spacing w:after="156"/>
        <w:ind w:firstLine="0" w:firstLineChars="0"/>
        <w:jc w:val="left"/>
        <w:rPr>
          <w:i/>
          <w:iCs/>
          <w:shd w:val="pct15" w:color="auto" w:fill="FFFFFF"/>
        </w:rPr>
      </w:pPr>
      <w:r>
        <w:rPr>
          <w:rFonts w:hint="eastAsia"/>
          <w:i/>
          <w:iCs/>
          <w:shd w:val="pct15" w:color="auto" w:fill="FFFFFF"/>
        </w:rPr>
        <w:t># 创建年龄分组（便于管理分析）</w:t>
      </w:r>
    </w:p>
    <w:p w14:paraId="47C5EF8E">
      <w:pPr>
        <w:spacing w:after="156"/>
        <w:ind w:firstLine="0" w:firstLineChars="0"/>
        <w:jc w:val="left"/>
        <w:rPr>
          <w:shd w:val="pct15" w:color="auto" w:fill="FFFFFF"/>
        </w:rPr>
      </w:pPr>
      <w:r>
        <w:rPr>
          <w:shd w:val="pct15" w:color="auto" w:fill="FFFFFF"/>
        </w:rPr>
        <w:t>bank_data$age_group &lt;- cut(bank_data$age,</w:t>
      </w:r>
    </w:p>
    <w:p w14:paraId="0F83F0FB">
      <w:pPr>
        <w:spacing w:after="156"/>
        <w:ind w:firstLine="0" w:firstLineChars="0"/>
        <w:jc w:val="left"/>
        <w:rPr>
          <w:shd w:val="pct15" w:color="auto" w:fill="FFFFFF"/>
        </w:rPr>
      </w:pPr>
      <w:r>
        <w:rPr>
          <w:shd w:val="pct15" w:color="auto" w:fill="FFFFFF"/>
        </w:rPr>
        <w:t xml:space="preserve">                           breaks = c(0, 25, 35, 45, 55, 65, 100),</w:t>
      </w:r>
    </w:p>
    <w:p w14:paraId="1D8FE87D">
      <w:pPr>
        <w:spacing w:after="156"/>
        <w:ind w:firstLine="0" w:firstLineChars="0"/>
        <w:jc w:val="left"/>
        <w:rPr>
          <w:shd w:val="pct15" w:color="auto" w:fill="FFFFFF"/>
        </w:rPr>
      </w:pPr>
      <w:r>
        <w:rPr>
          <w:shd w:val="pct15" w:color="auto" w:fill="FFFFFF"/>
        </w:rPr>
        <w:t xml:space="preserve">                           labels = c("18-25", "26-35", "36-45", "46-55", "56-65", "65+"))</w:t>
      </w:r>
    </w:p>
    <w:p w14:paraId="34D6C067">
      <w:pPr>
        <w:spacing w:after="156"/>
        <w:ind w:firstLine="0" w:firstLineChars="0"/>
        <w:jc w:val="left"/>
        <w:rPr>
          <w:i/>
          <w:iCs/>
          <w:shd w:val="pct15" w:color="auto" w:fill="FFFFFF"/>
        </w:rPr>
      </w:pPr>
      <w:r>
        <w:rPr>
          <w:rFonts w:hint="eastAsia"/>
          <w:i/>
          <w:iCs/>
          <w:shd w:val="pct15" w:color="auto" w:fill="FFFFFF"/>
        </w:rPr>
        <w:t># 查看整体订阅率</w:t>
      </w:r>
    </w:p>
    <w:p w14:paraId="2DA003B7">
      <w:pPr>
        <w:spacing w:after="156"/>
        <w:ind w:firstLine="0" w:firstLineChars="0"/>
        <w:jc w:val="left"/>
        <w:rPr>
          <w:shd w:val="pct15" w:color="auto" w:fill="FFFFFF"/>
        </w:rPr>
      </w:pPr>
      <w:r>
        <w:rPr>
          <w:shd w:val="pct15" w:color="auto" w:fill="FFFFFF"/>
        </w:rPr>
        <w:t>subscribe_rate &lt;- mean(bank_data$y_num) * 100</w:t>
      </w:r>
    </w:p>
    <w:p w14:paraId="2134EFCA">
      <w:pPr>
        <w:spacing w:after="156"/>
        <w:ind w:firstLine="0" w:firstLineChars="0"/>
        <w:jc w:val="left"/>
        <w:rPr>
          <w:shd w:val="pct15" w:color="auto" w:fill="FFFFFF"/>
        </w:rPr>
      </w:pPr>
      <w:r>
        <w:rPr>
          <w:rFonts w:hint="eastAsia"/>
          <w:shd w:val="pct15" w:color="auto" w:fill="FFFFFF"/>
        </w:rPr>
        <w:t>paste0("整体订阅率为: ", round(subscribe_rate, 2), "%")</w:t>
      </w:r>
    </w:p>
    <w:p w14:paraId="06DFCAF7">
      <w:pPr>
        <w:spacing w:after="156"/>
        <w:ind w:firstLine="0" w:firstLineChars="0"/>
        <w:jc w:val="left"/>
        <w:rPr>
          <w:i/>
          <w:iCs/>
          <w:shd w:val="pct15" w:color="auto" w:fill="FFFFFF"/>
        </w:rPr>
      </w:pPr>
      <w:r>
        <w:rPr>
          <w:rFonts w:hint="eastAsia"/>
          <w:i/>
          <w:iCs/>
          <w:shd w:val="pct15" w:color="auto" w:fill="FFFFFF"/>
        </w:rPr>
        <w:t># 查看目标变量分布</w:t>
      </w:r>
    </w:p>
    <w:p w14:paraId="7E9A8146">
      <w:pPr>
        <w:spacing w:after="156"/>
        <w:ind w:firstLine="0" w:firstLineChars="0"/>
        <w:jc w:val="left"/>
      </w:pPr>
      <w:r>
        <w:rPr>
          <w:shd w:val="pct15" w:color="auto" w:fill="FFFFFF"/>
        </w:rPr>
        <w:t>table(bank_data$y)</w:t>
      </w:r>
      <w:r>
        <w:drawing>
          <wp:inline distT="0" distB="0" distL="0" distR="0">
            <wp:extent cx="5274310" cy="1219200"/>
            <wp:effectExtent l="0" t="0" r="2540" b="0"/>
            <wp:docPr id="18124162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16295"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b="32323"/>
                    <a:stretch>
                      <a:fillRect/>
                    </a:stretch>
                  </pic:blipFill>
                  <pic:spPr>
                    <a:xfrm>
                      <a:off x="0" y="0"/>
                      <a:ext cx="5274310" cy="1219200"/>
                    </a:xfrm>
                    <a:prstGeom prst="rect">
                      <a:avLst/>
                    </a:prstGeom>
                    <a:noFill/>
                    <a:ln>
                      <a:noFill/>
                    </a:ln>
                  </pic:spPr>
                </pic:pic>
              </a:graphicData>
            </a:graphic>
          </wp:inline>
        </w:drawing>
      </w:r>
    </w:p>
    <w:p w14:paraId="668DC34A">
      <w:pPr>
        <w:spacing w:after="156"/>
        <w:ind w:firstLine="0" w:firstLineChars="0"/>
        <w:jc w:val="center"/>
        <w:rPr>
          <w:b/>
          <w:bCs/>
          <w:sz w:val="21"/>
          <w:szCs w:val="20"/>
        </w:rPr>
      </w:pPr>
      <w:r>
        <w:rPr>
          <w:rFonts w:hint="eastAsia"/>
          <w:b/>
          <w:bCs/>
          <w:sz w:val="21"/>
          <w:szCs w:val="20"/>
        </w:rPr>
        <w:t>图2-9 数据工程与变量衍生</w:t>
      </w:r>
    </w:p>
    <w:p w14:paraId="08EC8DE0">
      <w:pPr>
        <w:spacing w:after="156"/>
        <w:ind w:firstLine="198" w:firstLineChars="82"/>
        <w:rPr>
          <w:b/>
          <w:bCs/>
        </w:rPr>
      </w:pPr>
      <w:r>
        <w:rPr>
          <w:b/>
          <w:bCs/>
        </w:rPr>
        <w:br w:type="page"/>
      </w:r>
    </w:p>
    <w:p w14:paraId="201DAEBC">
      <w:pPr>
        <w:pStyle w:val="2"/>
        <w:spacing w:before="249" w:after="156"/>
      </w:pPr>
      <w:bookmarkStart w:id="16" w:name="_Toc229391197"/>
      <w:r>
        <w:t>3 探索性数据分析与可视化</w:t>
      </w:r>
      <w:bookmarkEnd w:id="16"/>
    </w:p>
    <w:p w14:paraId="7353529B">
      <w:pPr>
        <w:spacing w:after="156"/>
        <w:ind w:firstLine="480"/>
      </w:pPr>
      <w:r>
        <w:t>本节将结合市场营销理论与统计学方法，对客户行为进行多维度深度剖析。</w:t>
      </w:r>
    </w:p>
    <w:p w14:paraId="2DC51F84">
      <w:pPr>
        <w:pStyle w:val="3"/>
        <w:spacing w:before="249" w:after="156"/>
      </w:pPr>
      <w:bookmarkStart w:id="17" w:name="_Toc229391198"/>
      <w:r>
        <w:t>3.1 帕累托分析：职业贡献度的“二八定律”</w:t>
      </w:r>
      <w:bookmarkEnd w:id="17"/>
    </w:p>
    <w:p w14:paraId="04046006">
      <w:pPr>
        <w:spacing w:after="156"/>
        <w:ind w:firstLine="480"/>
      </w:pPr>
      <w:r>
        <w:rPr>
          <w:rFonts w:hint="eastAsia"/>
        </w:rPr>
        <w:t>1、</w:t>
      </w:r>
      <w:r>
        <w:t>管理学问题：营销预算有限，电话销售人员的精力应优先集中在哪些职业群体上？</w:t>
      </w:r>
      <w:r>
        <w:br w:type="textWrapping"/>
      </w:r>
      <w:r>
        <w:rPr>
          <w:rFonts w:hint="eastAsia"/>
        </w:rPr>
        <w:t xml:space="preserve">    2、</w:t>
      </w:r>
      <w:r>
        <w:t>分析方法：帕累托图（Pareto Chart），通过柱状图展示各职业的订阅绝对数量，并用折线图展示累计百分比。帕累托法则（二八定律）在银行客户价值分析中具有重要应用，即识别贡献度最高的关键客群是提升营销资源效率的前提</w:t>
      </w:r>
      <w:r>
        <w:rPr>
          <w:vertAlign w:val="superscript"/>
        </w:rPr>
        <w:fldChar w:fldCharType="begin"/>
      </w:r>
      <w:r>
        <w:rPr>
          <w:vertAlign w:val="superscript"/>
        </w:rPr>
        <w:instrText xml:space="preserve"> REF _Ref229352124 \r \h  \* MERGEFORMAT </w:instrText>
      </w:r>
      <w:r>
        <w:rPr>
          <w:vertAlign w:val="superscript"/>
        </w:rPr>
        <w:fldChar w:fldCharType="separate"/>
      </w:r>
      <w:r>
        <w:rPr>
          <w:vertAlign w:val="superscript"/>
        </w:rPr>
        <w:t>[4]</w:t>
      </w:r>
      <w:r>
        <w:rPr>
          <w:vertAlign w:val="superscript"/>
        </w:rPr>
        <w:fldChar w:fldCharType="end"/>
      </w:r>
      <w:r>
        <w:t>。</w:t>
      </w:r>
    </w:p>
    <w:p w14:paraId="36E489FE">
      <w:pPr>
        <w:spacing w:after="156"/>
        <w:ind w:firstLine="480"/>
      </w:pPr>
      <w:r>
        <w:rPr>
          <w:rFonts w:hint="eastAsia"/>
        </w:rPr>
        <w:t>3、</w:t>
      </w:r>
      <w:r>
        <w:t>R代码实现：</w:t>
      </w:r>
    </w:p>
    <w:p w14:paraId="5E8B598A">
      <w:pPr>
        <w:spacing w:after="156"/>
        <w:ind w:firstLine="0" w:firstLineChars="0"/>
        <w:rPr>
          <w:i/>
          <w:iCs/>
          <w:shd w:val="pct15" w:color="auto" w:fill="FFFFFF"/>
        </w:rPr>
      </w:pPr>
      <w:r>
        <w:rPr>
          <w:i/>
          <w:iCs/>
          <w:shd w:val="pct15" w:color="auto" w:fill="FFFFFF"/>
        </w:rPr>
        <w:t># 聚合计算各职业的订阅量</w:t>
      </w:r>
    </w:p>
    <w:p w14:paraId="0F599F59">
      <w:pPr>
        <w:spacing w:after="156"/>
        <w:ind w:firstLine="0" w:firstLineChars="0"/>
        <w:rPr>
          <w:shd w:val="pct15" w:color="auto" w:fill="FFFFFF"/>
        </w:rPr>
      </w:pPr>
      <w:r>
        <w:rPr>
          <w:shd w:val="pct15" w:color="auto" w:fill="FFFFFF"/>
        </w:rPr>
        <w:t>job_subscribe &lt;- bank_data %&gt;%</w:t>
      </w:r>
    </w:p>
    <w:p w14:paraId="7C42DF50">
      <w:pPr>
        <w:spacing w:after="156"/>
        <w:ind w:firstLine="0" w:firstLineChars="0"/>
        <w:rPr>
          <w:shd w:val="pct15" w:color="auto" w:fill="FFFFFF"/>
        </w:rPr>
      </w:pPr>
      <w:r>
        <w:rPr>
          <w:shd w:val="pct15" w:color="auto" w:fill="FFFFFF"/>
        </w:rPr>
        <w:t xml:space="preserve">  filter(y == "yes") %&gt;%</w:t>
      </w:r>
    </w:p>
    <w:p w14:paraId="2C7DF2EE">
      <w:pPr>
        <w:spacing w:after="156"/>
        <w:ind w:firstLine="0" w:firstLineChars="0"/>
        <w:rPr>
          <w:shd w:val="pct15" w:color="auto" w:fill="FFFFFF"/>
        </w:rPr>
      </w:pPr>
      <w:r>
        <w:rPr>
          <w:shd w:val="pct15" w:color="auto" w:fill="FFFFFF"/>
        </w:rPr>
        <w:t xml:space="preserve">  group_by(job) %&gt;%</w:t>
      </w:r>
    </w:p>
    <w:p w14:paraId="76DD5978">
      <w:pPr>
        <w:spacing w:after="156"/>
        <w:ind w:firstLine="0" w:firstLineChars="0"/>
        <w:rPr>
          <w:shd w:val="pct15" w:color="auto" w:fill="FFFFFF"/>
        </w:rPr>
      </w:pPr>
      <w:r>
        <w:rPr>
          <w:shd w:val="pct15" w:color="auto" w:fill="FFFFFF"/>
        </w:rPr>
        <w:t xml:space="preserve">  summarise(count = n()) %&gt;%</w:t>
      </w:r>
    </w:p>
    <w:p w14:paraId="24BE3599">
      <w:pPr>
        <w:spacing w:after="156"/>
        <w:ind w:firstLine="0" w:firstLineChars="0"/>
        <w:rPr>
          <w:shd w:val="pct15" w:color="auto" w:fill="FFFFFF"/>
        </w:rPr>
      </w:pPr>
      <w:r>
        <w:rPr>
          <w:shd w:val="pct15" w:color="auto" w:fill="FFFFFF"/>
        </w:rPr>
        <w:t xml:space="preserve">  arrange(desc(count))</w:t>
      </w:r>
    </w:p>
    <w:p w14:paraId="301B02BA">
      <w:pPr>
        <w:spacing w:after="156"/>
        <w:ind w:firstLine="0" w:firstLineChars="0"/>
        <w:rPr>
          <w:i/>
          <w:iCs/>
          <w:shd w:val="pct15" w:color="auto" w:fill="FFFFFF"/>
        </w:rPr>
      </w:pPr>
      <w:r>
        <w:rPr>
          <w:i/>
          <w:iCs/>
          <w:shd w:val="pct15" w:color="auto" w:fill="FFFFFF"/>
        </w:rPr>
        <w:t># 计算累计百分比</w:t>
      </w:r>
    </w:p>
    <w:p w14:paraId="6BA4F64C">
      <w:pPr>
        <w:spacing w:after="156"/>
        <w:ind w:left="240" w:hanging="240" w:hangingChars="100"/>
        <w:jc w:val="left"/>
        <w:rPr>
          <w:shd w:val="pct15" w:color="auto" w:fill="FFFFFF"/>
        </w:rPr>
      </w:pPr>
      <w:r>
        <w:rPr>
          <w:shd w:val="pct15" w:color="auto" w:fill="FFFFFF"/>
        </w:rPr>
        <w:t>job_subscribe$cum_percent&lt;</w:t>
      </w:r>
      <w:r>
        <w:rPr>
          <w:rFonts w:hint="eastAsia"/>
          <w:shd w:val="pct15" w:color="auto" w:fill="FFFFFF"/>
        </w:rPr>
        <w:t>-</w:t>
      </w:r>
      <w:r>
        <w:rPr>
          <w:shd w:val="pct15" w:color="auto" w:fill="FFFFFF"/>
        </w:rPr>
        <w:t>cumsum(job_subscribe$count)/sum(job_subscribe$count) * 100</w:t>
      </w:r>
    </w:p>
    <w:p w14:paraId="679E342C">
      <w:pPr>
        <w:spacing w:after="156"/>
        <w:ind w:firstLine="0" w:firstLineChars="0"/>
        <w:rPr>
          <w:shd w:val="pct15" w:color="auto" w:fill="FFFFFF"/>
        </w:rPr>
      </w:pPr>
      <w:r>
        <w:rPr>
          <w:shd w:val="pct15" w:color="auto" w:fill="FFFFFF"/>
        </w:rPr>
        <w:t>library(ggplot2)</w:t>
      </w:r>
    </w:p>
    <w:p w14:paraId="3B446EED">
      <w:pPr>
        <w:spacing w:after="156"/>
        <w:ind w:firstLine="0" w:firstLineChars="0"/>
        <w:rPr>
          <w:shd w:val="pct15" w:color="auto" w:fill="FFFFFF"/>
        </w:rPr>
      </w:pPr>
      <w:r>
        <w:rPr>
          <w:shd w:val="pct15" w:color="auto" w:fill="FFFFFF"/>
        </w:rPr>
        <w:t>library(scales)</w:t>
      </w:r>
    </w:p>
    <w:p w14:paraId="4B604600">
      <w:pPr>
        <w:spacing w:after="156"/>
        <w:ind w:firstLine="0" w:firstLineChars="0"/>
        <w:rPr>
          <w:i/>
          <w:iCs/>
          <w:shd w:val="pct15" w:color="auto" w:fill="FFFFFF"/>
        </w:rPr>
      </w:pPr>
      <w:r>
        <w:rPr>
          <w:i/>
          <w:iCs/>
          <w:shd w:val="pct15" w:color="auto" w:fill="FFFFFF"/>
        </w:rPr>
        <w:t># 绘制帕累托图</w:t>
      </w:r>
    </w:p>
    <w:p w14:paraId="476A47EA">
      <w:pPr>
        <w:spacing w:after="156"/>
        <w:ind w:firstLine="0" w:firstLineChars="0"/>
        <w:rPr>
          <w:shd w:val="pct15" w:color="auto" w:fill="FFFFFF"/>
        </w:rPr>
      </w:pPr>
      <w:r>
        <w:rPr>
          <w:shd w:val="pct15" w:color="auto" w:fill="FFFFFF"/>
        </w:rPr>
        <w:t>ggplot(job_subscribe, aes(x = reorder(job, -count), y = count)) +</w:t>
      </w:r>
    </w:p>
    <w:p w14:paraId="5355B4A6">
      <w:pPr>
        <w:spacing w:after="156"/>
        <w:ind w:firstLine="0" w:firstLineChars="0"/>
        <w:rPr>
          <w:shd w:val="pct15" w:color="auto" w:fill="FFFFFF"/>
        </w:rPr>
      </w:pPr>
      <w:r>
        <w:rPr>
          <w:shd w:val="pct15" w:color="auto" w:fill="FFFFFF"/>
        </w:rPr>
        <w:t xml:space="preserve">  geom_bar(stat = "identity", fill = "steelblue") +</w:t>
      </w:r>
    </w:p>
    <w:p w14:paraId="1A001993">
      <w:pPr>
        <w:spacing w:after="156"/>
        <w:ind w:firstLine="0" w:firstLineChars="0"/>
        <w:rPr>
          <w:shd w:val="pct15" w:color="auto" w:fill="FFFFFF"/>
        </w:rPr>
      </w:pPr>
      <w:r>
        <w:rPr>
          <w:shd w:val="pct15" w:color="auto" w:fill="FFFFFF"/>
        </w:rPr>
        <w:t xml:space="preserve">  geom_point(aes(y = cum_percent * max(count) / 100), color = "red", size = 2) +</w:t>
      </w:r>
    </w:p>
    <w:p w14:paraId="10E1EB01">
      <w:pPr>
        <w:spacing w:after="156"/>
        <w:ind w:firstLine="0" w:firstLineChars="0"/>
        <w:rPr>
          <w:shd w:val="pct15" w:color="auto" w:fill="FFFFFF"/>
        </w:rPr>
      </w:pPr>
      <w:r>
        <w:rPr>
          <w:shd w:val="pct15" w:color="auto" w:fill="FFFFFF"/>
        </w:rPr>
        <w:t xml:space="preserve">  geom_line(aes(y = cum_percent * max(count) / 100, group = 1), color = "red", size = 0.8) +</w:t>
      </w:r>
    </w:p>
    <w:p w14:paraId="46014D98">
      <w:pPr>
        <w:spacing w:after="156"/>
        <w:ind w:firstLine="0" w:firstLineChars="0"/>
        <w:rPr>
          <w:shd w:val="pct15" w:color="auto" w:fill="FFFFFF"/>
        </w:rPr>
      </w:pPr>
      <w:r>
        <w:rPr>
          <w:shd w:val="pct15" w:color="auto" w:fill="FFFFFF"/>
        </w:rPr>
        <w:t xml:space="preserve">  scale_y_continuous(</w:t>
      </w:r>
    </w:p>
    <w:p w14:paraId="3B0A9DF4">
      <w:pPr>
        <w:spacing w:after="156"/>
        <w:ind w:firstLine="0" w:firstLineChars="0"/>
        <w:rPr>
          <w:shd w:val="pct15" w:color="auto" w:fill="FFFFFF"/>
        </w:rPr>
      </w:pPr>
      <w:r>
        <w:rPr>
          <w:rFonts w:hint="eastAsia"/>
          <w:shd w:val="pct15" w:color="auto" w:fill="FFFFFF"/>
        </w:rPr>
        <w:t xml:space="preserve">    name = "订阅数量",</w:t>
      </w:r>
    </w:p>
    <w:p w14:paraId="215A7C66">
      <w:pPr>
        <w:spacing w:after="156"/>
        <w:ind w:firstLine="0" w:firstLineChars="0"/>
        <w:rPr>
          <w:shd w:val="pct15" w:color="auto" w:fill="FFFFFF"/>
        </w:rPr>
      </w:pPr>
      <w:r>
        <w:rPr>
          <w:rFonts w:hint="eastAsia"/>
          <w:shd w:val="pct15" w:color="auto" w:fill="FFFFFF"/>
        </w:rPr>
        <w:t xml:space="preserve">    sec.axis = sec_axis(~ . * 100 / max(job_subscribe$count), name = "累计百分比 (%)")</w:t>
      </w:r>
    </w:p>
    <w:p w14:paraId="276317F8">
      <w:pPr>
        <w:spacing w:after="156"/>
        <w:ind w:firstLine="0" w:firstLineChars="0"/>
        <w:rPr>
          <w:shd w:val="pct15" w:color="auto" w:fill="FFFFFF"/>
        </w:rPr>
      </w:pPr>
      <w:r>
        <w:rPr>
          <w:shd w:val="pct15" w:color="auto" w:fill="FFFFFF"/>
        </w:rPr>
        <w:t xml:space="preserve">  ) +</w:t>
      </w:r>
    </w:p>
    <w:p w14:paraId="1F9B4070">
      <w:pPr>
        <w:spacing w:after="156"/>
        <w:ind w:firstLine="0" w:firstLineChars="0"/>
        <w:rPr>
          <w:shd w:val="pct15" w:color="auto" w:fill="FFFFFF"/>
        </w:rPr>
      </w:pPr>
      <w:r>
        <w:rPr>
          <w:rFonts w:hint="eastAsia"/>
          <w:shd w:val="pct15" w:color="auto" w:fill="FFFFFF"/>
        </w:rPr>
        <w:t xml:space="preserve">  labs(title = "帕累托图：不同职业客户的定期存款订阅贡献度",</w:t>
      </w:r>
    </w:p>
    <w:p w14:paraId="2203DD22">
      <w:pPr>
        <w:spacing w:after="156"/>
        <w:ind w:firstLine="0" w:firstLineChars="0"/>
        <w:rPr>
          <w:shd w:val="pct15" w:color="auto" w:fill="FFFFFF"/>
        </w:rPr>
      </w:pPr>
      <w:r>
        <w:rPr>
          <w:rFonts w:hint="eastAsia"/>
          <w:shd w:val="pct15" w:color="auto" w:fill="FFFFFF"/>
        </w:rPr>
        <w:t xml:space="preserve">       subtitle = "银行电话营销数据 (n=45,211)",</w:t>
      </w:r>
    </w:p>
    <w:p w14:paraId="09473008">
      <w:pPr>
        <w:spacing w:after="156"/>
        <w:ind w:firstLine="0" w:firstLineChars="0"/>
        <w:rPr>
          <w:shd w:val="pct15" w:color="auto" w:fill="FFFFFF"/>
        </w:rPr>
      </w:pPr>
      <w:r>
        <w:rPr>
          <w:rFonts w:hint="eastAsia"/>
          <w:shd w:val="pct15" w:color="auto" w:fill="FFFFFF"/>
        </w:rPr>
        <w:t xml:space="preserve">       x = "职业类型",</w:t>
      </w:r>
    </w:p>
    <w:p w14:paraId="0B0A4BBF">
      <w:pPr>
        <w:spacing w:after="156"/>
        <w:ind w:firstLine="0" w:firstLineChars="0"/>
        <w:rPr>
          <w:shd w:val="pct15" w:color="auto" w:fill="FFFFFF"/>
        </w:rPr>
      </w:pPr>
      <w:r>
        <w:rPr>
          <w:rFonts w:hint="eastAsia"/>
          <w:shd w:val="pct15" w:color="auto" w:fill="FFFFFF"/>
        </w:rPr>
        <w:t xml:space="preserve">       y = "订阅数量",</w:t>
      </w:r>
    </w:p>
    <w:p w14:paraId="250891A4">
      <w:pPr>
        <w:spacing w:after="156"/>
        <w:ind w:firstLine="0" w:firstLineChars="0"/>
        <w:rPr>
          <w:shd w:val="pct15" w:color="auto" w:fill="FFFFFF"/>
        </w:rPr>
      </w:pPr>
      <w:r>
        <w:rPr>
          <w:rFonts w:hint="eastAsia"/>
          <w:shd w:val="pct15" w:color="auto" w:fill="FFFFFF"/>
        </w:rPr>
        <w:t xml:space="preserve">       caption = "红线表示累计百分比曲线") +</w:t>
      </w:r>
    </w:p>
    <w:p w14:paraId="54C7FD58">
      <w:pPr>
        <w:spacing w:after="156"/>
        <w:ind w:firstLine="0" w:firstLineChars="0"/>
        <w:rPr>
          <w:shd w:val="pct15" w:color="auto" w:fill="FFFFFF"/>
        </w:rPr>
      </w:pPr>
      <w:r>
        <w:rPr>
          <w:shd w:val="pct15" w:color="auto" w:fill="FFFFFF"/>
        </w:rPr>
        <w:t xml:space="preserve">  theme_minimal() +</w:t>
      </w:r>
    </w:p>
    <w:p w14:paraId="174EFEB9">
      <w:pPr>
        <w:spacing w:after="156"/>
        <w:ind w:firstLine="0" w:firstLineChars="0"/>
        <w:rPr>
          <w:shd w:val="pct15" w:color="auto" w:fill="FFFFFF"/>
        </w:rPr>
      </w:pPr>
      <w:r>
        <w:rPr>
          <w:shd w:val="pct15" w:color="auto" w:fill="FFFFFF"/>
        </w:rPr>
        <w:t xml:space="preserve">  theme(axis.text.x = element_text(angle = 45, hjust = 1))</w:t>
      </w:r>
    </w:p>
    <w:p w14:paraId="23393FBD">
      <w:pPr>
        <w:spacing w:after="156"/>
        <w:ind w:firstLine="0" w:firstLineChars="0"/>
        <w:rPr>
          <w:shd w:val="pct15" w:color="auto" w:fill="FFFFFF"/>
        </w:rPr>
      </w:pPr>
      <w:r>
        <w:rPr>
          <w:shd w:val="pct15" w:color="auto" w:fill="FFFFFF"/>
        </w:rPr>
        <w:t>ggsave("pareto_job_subscription.png", width = 10, height = 6)</w:t>
      </w:r>
    </w:p>
    <w:p w14:paraId="4ECF7195">
      <w:pPr>
        <w:spacing w:after="156"/>
        <w:ind w:firstLine="0" w:firstLineChars="0"/>
        <w:jc w:val="center"/>
        <w:rPr>
          <w:b/>
          <w:bCs/>
          <w:sz w:val="21"/>
          <w:szCs w:val="20"/>
        </w:rPr>
      </w:pPr>
      <w:r>
        <w:rPr>
          <w:b/>
          <w:bCs/>
          <w:sz w:val="21"/>
          <w:szCs w:val="20"/>
        </w:rPr>
        <w:drawing>
          <wp:inline distT="0" distB="0" distL="0" distR="0">
            <wp:extent cx="5274310" cy="2226310"/>
            <wp:effectExtent l="0" t="0" r="2540" b="2540"/>
            <wp:docPr id="2020184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8480" name="图片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4310" cy="2226310"/>
                    </a:xfrm>
                    <a:prstGeom prst="rect">
                      <a:avLst/>
                    </a:prstGeom>
                    <a:noFill/>
                    <a:ln>
                      <a:noFill/>
                    </a:ln>
                  </pic:spPr>
                </pic:pic>
              </a:graphicData>
            </a:graphic>
          </wp:inline>
        </w:drawing>
      </w:r>
    </w:p>
    <w:p w14:paraId="201A7D56">
      <w:pPr>
        <w:spacing w:after="156"/>
        <w:ind w:firstLine="0" w:firstLineChars="0"/>
        <w:jc w:val="center"/>
        <w:rPr>
          <w:b/>
          <w:bCs/>
          <w:sz w:val="21"/>
          <w:szCs w:val="20"/>
        </w:rPr>
      </w:pPr>
      <w:r>
        <w:rPr>
          <w:rFonts w:hint="eastAsia"/>
          <w:b/>
          <w:bCs/>
          <w:sz w:val="21"/>
          <w:szCs w:val="20"/>
        </w:rPr>
        <w:t>图3-1 绘制帕累托图</w:t>
      </w:r>
    </w:p>
    <w:p w14:paraId="51EF92BA">
      <w:pPr>
        <w:spacing w:after="156"/>
        <w:ind w:firstLine="0" w:firstLineChars="0"/>
        <w:jc w:val="center"/>
        <w:rPr>
          <w:b/>
          <w:bCs/>
          <w:sz w:val="21"/>
          <w:szCs w:val="20"/>
        </w:rPr>
      </w:pPr>
      <w:r>
        <w:rPr>
          <w:b/>
          <w:bCs/>
          <w:sz w:val="21"/>
          <w:szCs w:val="20"/>
        </w:rPr>
        <w:drawing>
          <wp:inline distT="0" distB="0" distL="0" distR="0">
            <wp:extent cx="5274310" cy="3164840"/>
            <wp:effectExtent l="0" t="0" r="2540" b="0"/>
            <wp:docPr id="9677107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10783" name="图片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3164840"/>
                    </a:xfrm>
                    <a:prstGeom prst="rect">
                      <a:avLst/>
                    </a:prstGeom>
                    <a:noFill/>
                    <a:ln>
                      <a:noFill/>
                    </a:ln>
                  </pic:spPr>
                </pic:pic>
              </a:graphicData>
            </a:graphic>
          </wp:inline>
        </w:drawing>
      </w:r>
    </w:p>
    <w:p w14:paraId="134D7801">
      <w:pPr>
        <w:spacing w:after="156"/>
        <w:ind w:firstLine="0" w:firstLineChars="0"/>
        <w:jc w:val="center"/>
        <w:rPr>
          <w:b/>
          <w:bCs/>
          <w:sz w:val="21"/>
          <w:szCs w:val="20"/>
        </w:rPr>
      </w:pPr>
      <w:r>
        <w:rPr>
          <w:rFonts w:hint="eastAsia"/>
          <w:b/>
          <w:bCs/>
          <w:sz w:val="21"/>
          <w:szCs w:val="20"/>
        </w:rPr>
        <w:t xml:space="preserve">图3-2 </w:t>
      </w:r>
      <w:r>
        <w:rPr>
          <w:b/>
          <w:bCs/>
          <w:sz w:val="21"/>
          <w:szCs w:val="20"/>
        </w:rPr>
        <w:t>帕累托图：不同职业客户的订阅贡献度</w:t>
      </w:r>
    </w:p>
    <w:p w14:paraId="0EE99108">
      <w:pPr>
        <w:spacing w:after="156"/>
        <w:ind w:firstLine="480"/>
      </w:pPr>
      <w:r>
        <w:rPr>
          <w:rFonts w:hint="eastAsia"/>
        </w:rPr>
        <w:t>4、分析结论：</w:t>
      </w:r>
    </w:p>
    <w:p w14:paraId="536DFD2F">
      <w:pPr>
        <w:spacing w:after="156"/>
        <w:ind w:firstLine="480"/>
      </w:pPr>
      <w:r>
        <w:rPr>
          <w:rFonts w:hint="eastAsia"/>
        </w:rPr>
        <w:t>如图所示，管理岗（management）、技术岗（technician）和蓝领（blue-collar） 构成了订阅数量的前三名。仅“管理”和“技术”两类职业，就贡献了超过 30% 的订阅总量。这表明高技能、高收入职业群体是定期存款的核心来源。建议银行对公联动或高端理财推荐时，应优先锁定此类职业人群，进行精准营销。</w:t>
      </w:r>
    </w:p>
    <w:p w14:paraId="3D96E90A">
      <w:pPr>
        <w:pStyle w:val="3"/>
        <w:spacing w:before="249" w:after="156"/>
      </w:pPr>
      <w:bookmarkStart w:id="18" w:name="_Toc229391199"/>
      <w:r>
        <w:t>3.2 瀑布图分析：营销接触的边际效益递减</w:t>
      </w:r>
      <w:bookmarkEnd w:id="18"/>
    </w:p>
    <w:p w14:paraId="619EA606">
      <w:pPr>
        <w:spacing w:after="156"/>
        <w:ind w:firstLine="480"/>
      </w:pPr>
      <w:r>
        <w:rPr>
          <w:rFonts w:hint="eastAsia"/>
        </w:rPr>
        <w:t>1、管理学问题：“穷追不舍”的策略是否有效？是否存在一个既能最大化转化率，又能最小化客户厌恶的“最优营销接触次数”？</w:t>
      </w:r>
    </w:p>
    <w:p w14:paraId="19F28FB9">
      <w:pPr>
        <w:spacing w:after="156"/>
        <w:ind w:firstLine="480"/>
      </w:pPr>
      <w:r>
        <w:rPr>
          <w:rFonts w:hint="eastAsia"/>
        </w:rPr>
        <w:t>2、分析方法：瀑布图（Waterfall Chart），能够直观展示随着营销次数增加，累计订阅量的“增量”变化过程，清晰地揭示了营销投入的边际效益</w:t>
      </w:r>
      <w:r>
        <w:rPr>
          <w:vertAlign w:val="superscript"/>
        </w:rPr>
        <w:fldChar w:fldCharType="begin"/>
      </w:r>
      <w:r>
        <w:rPr>
          <w:vertAlign w:val="superscript"/>
        </w:rPr>
        <w:instrText xml:space="preserve"> </w:instrText>
      </w:r>
      <w:r>
        <w:rPr>
          <w:rFonts w:hint="eastAsia"/>
          <w:vertAlign w:val="superscript"/>
        </w:rPr>
        <w:instrText xml:space="preserve">REF _Ref229352148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w:t>
      </w:r>
    </w:p>
    <w:p w14:paraId="34C57A93">
      <w:pPr>
        <w:spacing w:after="156"/>
        <w:ind w:firstLine="480"/>
      </w:pPr>
      <w:r>
        <w:rPr>
          <w:rFonts w:hint="eastAsia"/>
        </w:rPr>
        <w:t>3、R代码实现：</w:t>
      </w:r>
    </w:p>
    <w:p w14:paraId="04ACB2AF">
      <w:pPr>
        <w:spacing w:after="156"/>
        <w:ind w:firstLine="0" w:firstLineChars="0"/>
        <w:rPr>
          <w:i/>
          <w:iCs/>
          <w:shd w:val="pct15" w:color="auto" w:fill="FFFFFF"/>
        </w:rPr>
      </w:pPr>
      <w:r>
        <w:rPr>
          <w:i/>
          <w:iCs/>
          <w:shd w:val="pct15" w:color="auto" w:fill="FFFFFF"/>
        </w:rPr>
        <w:t># 计算不同接触次数的订阅人数</w:t>
      </w:r>
    </w:p>
    <w:p w14:paraId="28B86EC3">
      <w:pPr>
        <w:spacing w:after="156"/>
        <w:ind w:firstLine="0" w:firstLineChars="0"/>
        <w:rPr>
          <w:shd w:val="pct15" w:color="auto" w:fill="FFFFFF"/>
        </w:rPr>
      </w:pPr>
      <w:r>
        <w:rPr>
          <w:shd w:val="pct15" w:color="auto" w:fill="FFFFFF"/>
        </w:rPr>
        <w:t>campaign_effect &lt;- bank_data %&gt;%</w:t>
      </w:r>
    </w:p>
    <w:p w14:paraId="467DF785">
      <w:pPr>
        <w:spacing w:after="156"/>
        <w:ind w:firstLine="0" w:firstLineChars="0"/>
        <w:rPr>
          <w:shd w:val="pct15" w:color="auto" w:fill="FFFFFF"/>
        </w:rPr>
      </w:pPr>
      <w:r>
        <w:rPr>
          <w:shd w:val="pct15" w:color="auto" w:fill="FFFFFF"/>
        </w:rPr>
        <w:t xml:space="preserve">  filter(y == "yes") %&gt;%</w:t>
      </w:r>
    </w:p>
    <w:p w14:paraId="698D8A7F">
      <w:pPr>
        <w:spacing w:after="156"/>
        <w:ind w:firstLine="0" w:firstLineChars="0"/>
        <w:rPr>
          <w:shd w:val="pct15" w:color="auto" w:fill="FFFFFF"/>
        </w:rPr>
      </w:pPr>
      <w:r>
        <w:rPr>
          <w:shd w:val="pct15" w:color="auto" w:fill="FFFFFF"/>
        </w:rPr>
        <w:t xml:space="preserve">  group_by(campaign) %&gt;%</w:t>
      </w:r>
    </w:p>
    <w:p w14:paraId="76071A87">
      <w:pPr>
        <w:spacing w:after="156"/>
        <w:ind w:firstLine="0" w:firstLineChars="0"/>
        <w:rPr>
          <w:shd w:val="pct15" w:color="auto" w:fill="FFFFFF"/>
        </w:rPr>
      </w:pPr>
      <w:r>
        <w:rPr>
          <w:shd w:val="pct15" w:color="auto" w:fill="FFFFFF"/>
        </w:rPr>
        <w:t xml:space="preserve">  summarise(subscribers = n()) %&gt;%</w:t>
      </w:r>
    </w:p>
    <w:p w14:paraId="09919892">
      <w:pPr>
        <w:spacing w:after="156"/>
        <w:ind w:firstLine="0" w:firstLineChars="0"/>
        <w:rPr>
          <w:shd w:val="pct15" w:color="auto" w:fill="FFFFFF"/>
        </w:rPr>
      </w:pPr>
      <w:r>
        <w:rPr>
          <w:shd w:val="pct15" w:color="auto" w:fill="FFFFFF"/>
        </w:rPr>
        <w:t xml:space="preserve">  arrange(campaign)</w:t>
      </w:r>
    </w:p>
    <w:p w14:paraId="744BC7C1">
      <w:pPr>
        <w:spacing w:after="156"/>
        <w:ind w:firstLine="0" w:firstLineChars="0"/>
        <w:rPr>
          <w:shd w:val="pct15" w:color="auto" w:fill="FFFFFF"/>
        </w:rPr>
      </w:pPr>
      <w:r>
        <w:rPr>
          <w:shd w:val="pct15" w:color="auto" w:fill="FFFFFF"/>
        </w:rPr>
        <w:t>campaign_effect &lt;- campaign_effect %&gt;% filter(campaign &lt;= 10)</w:t>
      </w:r>
    </w:p>
    <w:p w14:paraId="1A3B3692">
      <w:pPr>
        <w:spacing w:after="156"/>
        <w:ind w:firstLine="0" w:firstLineChars="0"/>
        <w:rPr>
          <w:i/>
          <w:iCs/>
          <w:shd w:val="pct15" w:color="auto" w:fill="FFFFFF"/>
        </w:rPr>
      </w:pPr>
      <w:r>
        <w:rPr>
          <w:i/>
          <w:iCs/>
          <w:shd w:val="pct15" w:color="auto" w:fill="FFFFFF"/>
        </w:rPr>
        <w:t># 计算累积量</w:t>
      </w:r>
    </w:p>
    <w:p w14:paraId="31DB8570">
      <w:pPr>
        <w:spacing w:after="156"/>
        <w:ind w:firstLine="0" w:firstLineChars="0"/>
        <w:rPr>
          <w:shd w:val="pct15" w:color="auto" w:fill="FFFFFF"/>
        </w:rPr>
      </w:pPr>
      <w:r>
        <w:rPr>
          <w:shd w:val="pct15" w:color="auto" w:fill="FFFFFF"/>
        </w:rPr>
        <w:t>campaign_effect$cumulative &lt;- cumsum(campaign_effect$subscribers)</w:t>
      </w:r>
    </w:p>
    <w:p w14:paraId="4D9AE00B">
      <w:pPr>
        <w:spacing w:after="156"/>
        <w:ind w:firstLine="0" w:firstLineChars="0"/>
        <w:rPr>
          <w:shd w:val="pct15" w:color="auto" w:fill="FFFFFF"/>
        </w:rPr>
      </w:pPr>
      <w:r>
        <w:rPr>
          <w:shd w:val="pct15" w:color="auto" w:fill="FFFFFF"/>
        </w:rPr>
        <w:t>campaign_effect$start &lt;- lag(campaign_effect$cumulative, default = 0)</w:t>
      </w:r>
    </w:p>
    <w:p w14:paraId="4991F557">
      <w:pPr>
        <w:spacing w:after="156"/>
        <w:ind w:firstLine="0" w:firstLineChars="0"/>
        <w:rPr>
          <w:i/>
          <w:iCs/>
          <w:shd w:val="pct15" w:color="auto" w:fill="FFFFFF"/>
        </w:rPr>
      </w:pPr>
      <w:r>
        <w:rPr>
          <w:rFonts w:hint="eastAsia"/>
          <w:i/>
          <w:iCs/>
          <w:shd w:val="pct15" w:color="auto" w:fill="FFFFFF"/>
        </w:rPr>
        <w:t># 绘图</w:t>
      </w:r>
    </w:p>
    <w:p w14:paraId="1B390085">
      <w:pPr>
        <w:spacing w:after="156"/>
        <w:ind w:firstLine="0" w:firstLineChars="0"/>
        <w:rPr>
          <w:shd w:val="pct15" w:color="auto" w:fill="FFFFFF"/>
        </w:rPr>
      </w:pPr>
      <w:r>
        <w:rPr>
          <w:shd w:val="pct15" w:color="auto" w:fill="FFFFFF"/>
        </w:rPr>
        <w:t>ggplot(campaign_effect, aes(x = as.factor(campaign))) +</w:t>
      </w:r>
    </w:p>
    <w:p w14:paraId="74D5B4F9">
      <w:pPr>
        <w:spacing w:after="156"/>
        <w:ind w:firstLine="0" w:firstLineChars="0"/>
        <w:rPr>
          <w:shd w:val="pct15" w:color="auto" w:fill="FFFFFF"/>
        </w:rPr>
      </w:pPr>
      <w:r>
        <w:rPr>
          <w:shd w:val="pct15" w:color="auto" w:fill="FFFFFF"/>
        </w:rPr>
        <w:t xml:space="preserve">  geom_rect(aes(xmin = as.numeric(as.factor(campaign)) - 0.35,</w:t>
      </w:r>
    </w:p>
    <w:p w14:paraId="458C994F">
      <w:pPr>
        <w:spacing w:after="156"/>
        <w:ind w:firstLine="0" w:firstLineChars="0"/>
        <w:rPr>
          <w:shd w:val="pct15" w:color="auto" w:fill="FFFFFF"/>
        </w:rPr>
      </w:pPr>
      <w:r>
        <w:rPr>
          <w:shd w:val="pct15" w:color="auto" w:fill="FFFFFF"/>
        </w:rPr>
        <w:t xml:space="preserve">                xmax = as.numeric(as.factor(campaign)) + 0.35,</w:t>
      </w:r>
    </w:p>
    <w:p w14:paraId="3DE2586C">
      <w:pPr>
        <w:spacing w:after="156"/>
        <w:ind w:firstLine="0" w:firstLineChars="0"/>
        <w:rPr>
          <w:shd w:val="pct15" w:color="auto" w:fill="FFFFFF"/>
        </w:rPr>
      </w:pPr>
      <w:r>
        <w:rPr>
          <w:shd w:val="pct15" w:color="auto" w:fill="FFFFFF"/>
        </w:rPr>
        <w:t xml:space="preserve">                ymin = start,</w:t>
      </w:r>
    </w:p>
    <w:p w14:paraId="2F66F037">
      <w:pPr>
        <w:spacing w:after="156"/>
        <w:ind w:firstLine="0" w:firstLineChars="0"/>
        <w:rPr>
          <w:shd w:val="pct15" w:color="auto" w:fill="FFFFFF"/>
        </w:rPr>
      </w:pPr>
      <w:r>
        <w:rPr>
          <w:shd w:val="pct15" w:color="auto" w:fill="FFFFFF"/>
        </w:rPr>
        <w:t xml:space="preserve">                ymax = cumulative,</w:t>
      </w:r>
    </w:p>
    <w:p w14:paraId="1B1A44AD">
      <w:pPr>
        <w:spacing w:after="156"/>
        <w:ind w:firstLine="0" w:firstLineChars="0"/>
        <w:rPr>
          <w:shd w:val="pct15" w:color="auto" w:fill="FFFFFF"/>
        </w:rPr>
      </w:pPr>
      <w:r>
        <w:rPr>
          <w:shd w:val="pct15" w:color="auto" w:fill="FFFFFF"/>
        </w:rPr>
        <w:t xml:space="preserve">                fill = subscribers &gt; 0)) +</w:t>
      </w:r>
    </w:p>
    <w:p w14:paraId="59C95A64">
      <w:pPr>
        <w:spacing w:after="156"/>
        <w:ind w:firstLine="0" w:firstLineChars="0"/>
        <w:rPr>
          <w:shd w:val="pct15" w:color="auto" w:fill="FFFFFF"/>
        </w:rPr>
      </w:pPr>
      <w:r>
        <w:rPr>
          <w:shd w:val="pct15" w:color="auto" w:fill="FFFFFF"/>
        </w:rPr>
        <w:t xml:space="preserve">  geom_text(aes(x = as.factor(campaign), </w:t>
      </w:r>
    </w:p>
    <w:p w14:paraId="1C9D9B5A">
      <w:pPr>
        <w:spacing w:after="156"/>
        <w:ind w:firstLine="0" w:firstLineChars="0"/>
        <w:rPr>
          <w:shd w:val="pct15" w:color="auto" w:fill="FFFFFF"/>
        </w:rPr>
      </w:pPr>
      <w:r>
        <w:rPr>
          <w:shd w:val="pct15" w:color="auto" w:fill="FFFFFF"/>
        </w:rPr>
        <w:t xml:space="preserve">                y = cumulative, </w:t>
      </w:r>
    </w:p>
    <w:p w14:paraId="655D8A2F">
      <w:pPr>
        <w:spacing w:after="156"/>
        <w:ind w:firstLine="0" w:firstLineChars="0"/>
        <w:rPr>
          <w:shd w:val="pct15" w:color="auto" w:fill="FFFFFF"/>
        </w:rPr>
      </w:pPr>
      <w:r>
        <w:rPr>
          <w:shd w:val="pct15" w:color="auto" w:fill="FFFFFF"/>
        </w:rPr>
        <w:t xml:space="preserve">                label = subscribers),</w:t>
      </w:r>
    </w:p>
    <w:p w14:paraId="508B19A5">
      <w:pPr>
        <w:spacing w:after="156"/>
        <w:ind w:firstLine="0" w:firstLineChars="0"/>
        <w:rPr>
          <w:shd w:val="pct15" w:color="auto" w:fill="FFFFFF"/>
        </w:rPr>
      </w:pPr>
      <w:r>
        <w:rPr>
          <w:shd w:val="pct15" w:color="auto" w:fill="FFFFFF"/>
        </w:rPr>
        <w:t xml:space="preserve">            vjust = -0.5, size = 3) +</w:t>
      </w:r>
    </w:p>
    <w:p w14:paraId="0363B05A">
      <w:pPr>
        <w:spacing w:after="156"/>
        <w:ind w:firstLine="0" w:firstLineChars="0"/>
        <w:rPr>
          <w:shd w:val="pct15" w:color="auto" w:fill="FFFFFF"/>
        </w:rPr>
      </w:pPr>
      <w:r>
        <w:rPr>
          <w:shd w:val="pct15" w:color="auto" w:fill="FFFFFF"/>
        </w:rPr>
        <w:t xml:space="preserve">  scale_fill_manual(values = c("orange", "steelblue"), </w:t>
      </w:r>
    </w:p>
    <w:p w14:paraId="22712545">
      <w:pPr>
        <w:spacing w:after="156"/>
        <w:ind w:firstLine="0" w:firstLineChars="0"/>
        <w:rPr>
          <w:shd w:val="pct15" w:color="auto" w:fill="FFFFFF"/>
        </w:rPr>
      </w:pPr>
      <w:r>
        <w:rPr>
          <w:shd w:val="pct15" w:color="auto" w:fill="FFFFFF"/>
        </w:rPr>
        <w:t xml:space="preserve">                    name = "增量",</w:t>
      </w:r>
    </w:p>
    <w:p w14:paraId="69AF80DC">
      <w:pPr>
        <w:spacing w:after="156"/>
        <w:ind w:firstLine="0" w:firstLineChars="0"/>
        <w:rPr>
          <w:shd w:val="pct15" w:color="auto" w:fill="FFFFFF"/>
        </w:rPr>
      </w:pPr>
      <w:r>
        <w:rPr>
          <w:shd w:val="pct15" w:color="auto" w:fill="FFFFFF"/>
        </w:rPr>
        <w:t xml:space="preserve">                    labels = c("负增长", "正增长")) +</w:t>
      </w:r>
    </w:p>
    <w:p w14:paraId="0CEF6BFD">
      <w:pPr>
        <w:spacing w:after="156"/>
        <w:ind w:firstLine="0" w:firstLineChars="0"/>
        <w:rPr>
          <w:shd w:val="pct15" w:color="auto" w:fill="FFFFFF"/>
        </w:rPr>
      </w:pPr>
      <w:r>
        <w:rPr>
          <w:shd w:val="pct15" w:color="auto" w:fill="FFFFFF"/>
        </w:rPr>
        <w:t xml:space="preserve">  labs(title = "瀑布图：不同营销接触次数对订阅数量的累积影响",</w:t>
      </w:r>
    </w:p>
    <w:p w14:paraId="580E8A3F">
      <w:pPr>
        <w:spacing w:after="156"/>
        <w:ind w:firstLine="0" w:firstLineChars="0"/>
        <w:rPr>
          <w:shd w:val="pct15" w:color="auto" w:fill="FFFFFF"/>
        </w:rPr>
      </w:pPr>
      <w:r>
        <w:rPr>
          <w:shd w:val="pct15" w:color="auto" w:fill="FFFFFF"/>
        </w:rPr>
        <w:t xml:space="preserve">       subtitle = "展示每次额外营销接触带来的订阅增量",</w:t>
      </w:r>
    </w:p>
    <w:p w14:paraId="40DA7BB6">
      <w:pPr>
        <w:spacing w:after="156"/>
        <w:ind w:firstLine="0" w:firstLineChars="0"/>
        <w:rPr>
          <w:shd w:val="pct15" w:color="auto" w:fill="FFFFFF"/>
        </w:rPr>
      </w:pPr>
      <w:r>
        <w:rPr>
          <w:shd w:val="pct15" w:color="auto" w:fill="FFFFFF"/>
        </w:rPr>
        <w:t xml:space="preserve">       x = "营销接触次数 (campaign)",</w:t>
      </w:r>
    </w:p>
    <w:p w14:paraId="18C8D361">
      <w:pPr>
        <w:spacing w:after="156"/>
        <w:ind w:firstLine="0" w:firstLineChars="0"/>
        <w:rPr>
          <w:shd w:val="pct15" w:color="auto" w:fill="FFFFFF"/>
        </w:rPr>
      </w:pPr>
      <w:r>
        <w:rPr>
          <w:shd w:val="pct15" w:color="auto" w:fill="FFFFFF"/>
        </w:rPr>
        <w:t xml:space="preserve">       y = "累计订阅数量") +</w:t>
      </w:r>
    </w:p>
    <w:p w14:paraId="6B61F70B">
      <w:pPr>
        <w:spacing w:after="156"/>
        <w:ind w:firstLine="0" w:firstLineChars="0"/>
        <w:rPr>
          <w:shd w:val="pct15" w:color="auto" w:fill="FFFFFF"/>
        </w:rPr>
      </w:pPr>
      <w:r>
        <w:rPr>
          <w:shd w:val="pct15" w:color="auto" w:fill="FFFFFF"/>
        </w:rPr>
        <w:t xml:space="preserve">  theme_minimal()</w:t>
      </w:r>
    </w:p>
    <w:p w14:paraId="4E159EE9">
      <w:pPr>
        <w:spacing w:after="156"/>
        <w:ind w:firstLine="0" w:firstLineChars="0"/>
        <w:rPr>
          <w:shd w:val="pct15" w:color="auto" w:fill="FFFFFF"/>
        </w:rPr>
      </w:pPr>
      <w:r>
        <w:rPr>
          <w:shd w:val="pct15" w:color="auto" w:fill="FFFFFF"/>
        </w:rPr>
        <w:t>ggsave("waterfall_campaign_effect.png", width = 10, height = 6)</w:t>
      </w:r>
    </w:p>
    <w:p w14:paraId="7FFBDBBF">
      <w:pPr>
        <w:spacing w:after="156"/>
        <w:ind w:firstLine="0" w:firstLineChars="0"/>
        <w:jc w:val="center"/>
        <w:rPr>
          <w:b/>
          <w:bCs/>
          <w:sz w:val="21"/>
          <w:szCs w:val="20"/>
        </w:rPr>
      </w:pPr>
      <w:r>
        <w:rPr>
          <w:b/>
          <w:bCs/>
          <w:sz w:val="21"/>
          <w:szCs w:val="20"/>
        </w:rPr>
        <w:drawing>
          <wp:inline distT="0" distB="0" distL="0" distR="0">
            <wp:extent cx="5274310" cy="3429635"/>
            <wp:effectExtent l="0" t="0" r="2540" b="0"/>
            <wp:docPr id="13699138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3873" name="图片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3429635"/>
                    </a:xfrm>
                    <a:prstGeom prst="rect">
                      <a:avLst/>
                    </a:prstGeom>
                    <a:noFill/>
                    <a:ln>
                      <a:noFill/>
                    </a:ln>
                  </pic:spPr>
                </pic:pic>
              </a:graphicData>
            </a:graphic>
          </wp:inline>
        </w:drawing>
      </w:r>
    </w:p>
    <w:p w14:paraId="4F6DEB05">
      <w:pPr>
        <w:spacing w:after="156"/>
        <w:ind w:firstLine="0" w:firstLineChars="0"/>
        <w:jc w:val="center"/>
        <w:rPr>
          <w:b/>
          <w:bCs/>
          <w:sz w:val="21"/>
          <w:szCs w:val="20"/>
        </w:rPr>
      </w:pPr>
      <w:r>
        <w:rPr>
          <w:rFonts w:hint="eastAsia"/>
          <w:b/>
          <w:bCs/>
          <w:sz w:val="21"/>
          <w:szCs w:val="20"/>
        </w:rPr>
        <w:t>图3-3 绘制瀑布图</w:t>
      </w:r>
    </w:p>
    <w:p w14:paraId="4FB6B24F">
      <w:pPr>
        <w:spacing w:after="156"/>
        <w:ind w:firstLine="0" w:firstLineChars="0"/>
        <w:jc w:val="center"/>
        <w:rPr>
          <w:b/>
          <w:bCs/>
          <w:sz w:val="21"/>
          <w:szCs w:val="20"/>
        </w:rPr>
      </w:pPr>
      <w:r>
        <w:rPr>
          <w:b/>
          <w:bCs/>
          <w:sz w:val="21"/>
          <w:szCs w:val="20"/>
        </w:rPr>
        <w:drawing>
          <wp:inline distT="0" distB="0" distL="0" distR="0">
            <wp:extent cx="5274310" cy="3164840"/>
            <wp:effectExtent l="0" t="0" r="2540" b="0"/>
            <wp:docPr id="1545988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8854" name="图片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3164840"/>
                    </a:xfrm>
                    <a:prstGeom prst="rect">
                      <a:avLst/>
                    </a:prstGeom>
                    <a:noFill/>
                    <a:ln>
                      <a:noFill/>
                    </a:ln>
                  </pic:spPr>
                </pic:pic>
              </a:graphicData>
            </a:graphic>
          </wp:inline>
        </w:drawing>
      </w:r>
    </w:p>
    <w:p w14:paraId="32329279">
      <w:pPr>
        <w:spacing w:after="156"/>
        <w:ind w:firstLine="0" w:firstLineChars="0"/>
        <w:jc w:val="center"/>
        <w:rPr>
          <w:b/>
          <w:bCs/>
          <w:sz w:val="21"/>
          <w:szCs w:val="20"/>
        </w:rPr>
      </w:pPr>
      <w:r>
        <w:rPr>
          <w:rFonts w:hint="eastAsia"/>
          <w:b/>
          <w:bCs/>
          <w:sz w:val="21"/>
          <w:szCs w:val="20"/>
        </w:rPr>
        <w:t xml:space="preserve">图3-4 </w:t>
      </w:r>
      <w:r>
        <w:rPr>
          <w:b/>
          <w:bCs/>
          <w:sz w:val="21"/>
          <w:szCs w:val="20"/>
        </w:rPr>
        <w:t>瀑布图：营销接触次数的累积效应</w:t>
      </w:r>
    </w:p>
    <w:p w14:paraId="16300BC1">
      <w:pPr>
        <w:spacing w:after="156"/>
        <w:ind w:firstLine="480"/>
      </w:pPr>
      <w:r>
        <w:rPr>
          <w:rFonts w:hint="eastAsia"/>
        </w:rPr>
        <w:t>4、分析结论：</w:t>
      </w:r>
    </w:p>
    <w:p w14:paraId="50BE3572">
      <w:pPr>
        <w:spacing w:after="156"/>
        <w:ind w:firstLine="480"/>
      </w:pPr>
      <w:r>
        <w:rPr>
          <w:rFonts w:hint="eastAsia"/>
        </w:rPr>
        <w:t>数据揭示了一个清晰的边际效益递减规律：</w:t>
      </w:r>
    </w:p>
    <w:p w14:paraId="2C1543D0">
      <w:pPr>
        <w:spacing w:after="156"/>
        <w:ind w:firstLine="480"/>
      </w:pPr>
      <w:r>
        <w:rPr>
          <w:rFonts w:hint="eastAsia"/>
        </w:rPr>
        <w:t>（1）首次接触是关键：第一次接触（Campaign=1）带来的转化量最高，是后续所有接触效果的基石。</w:t>
      </w:r>
    </w:p>
    <w:p w14:paraId="4A60625F">
      <w:pPr>
        <w:spacing w:after="156"/>
        <w:ind w:firstLine="480"/>
      </w:pPr>
      <w:r>
        <w:rPr>
          <w:rFonts w:hint="eastAsia"/>
        </w:rPr>
        <w:t>原因解释：首次接触时，客户对银行来电的心理防备最低，信息接收最完整，此时客户处于“信息收集”阶段，最容易对产品产生初步兴趣并做出响应。</w:t>
      </w:r>
    </w:p>
    <w:p w14:paraId="6EAAB9CA">
      <w:pPr>
        <w:spacing w:after="156"/>
        <w:ind w:firstLine="480"/>
      </w:pPr>
      <w:r>
        <w:rPr>
          <w:rFonts w:hint="eastAsia"/>
        </w:rPr>
        <w:t>（2）3次是临界点：从第3次接触开始，虽然总量仍在累积，但单次接触带来的新增转化量（柱子单次增高的幅度）急剧下降。</w:t>
      </w:r>
    </w:p>
    <w:p w14:paraId="59D993C3">
      <w:pPr>
        <w:spacing w:after="156"/>
        <w:ind w:firstLine="480"/>
      </w:pPr>
      <w:r>
        <w:rPr>
          <w:rFonts w:hint="eastAsia"/>
        </w:rPr>
        <w:t>原因解释：多次重复联系后，客户易产生“被骚扰”的厌烦情绪，对银行品牌的感知由“服务”转向“打扰”，边际沟通效率自然递减。心理学中的“超限效应”在此场景中表现明显——同一刺激重复过多次，反而会引起对方的反感与逆反。</w:t>
      </w:r>
    </w:p>
    <w:p w14:paraId="06A03231">
      <w:pPr>
        <w:spacing w:after="156"/>
        <w:ind w:firstLine="480"/>
      </w:pPr>
      <w:r>
        <w:rPr>
          <w:rFonts w:hint="eastAsia"/>
        </w:rPr>
        <w:t>（3）建议：银行应建立“骚扰预警机制”。对于超过3次以上仍未转化的客户，应暂停高成本、高反感度的电话外呼，转而采用短信、APP推送等低成本、非侵入式的方式维持客户联系。</w:t>
      </w:r>
    </w:p>
    <w:p w14:paraId="34C4FC03">
      <w:pPr>
        <w:pStyle w:val="3"/>
        <w:spacing w:before="249" w:after="156"/>
      </w:pPr>
      <w:bookmarkStart w:id="19" w:name="_Toc229391200"/>
      <w:r>
        <w:t>3.3 深度客户画像分析：年龄与教育水平</w:t>
      </w:r>
      <w:bookmarkEnd w:id="19"/>
    </w:p>
    <w:p w14:paraId="0EF19DA2">
      <w:pPr>
        <w:spacing w:after="156"/>
        <w:ind w:firstLine="480"/>
      </w:pPr>
      <w:r>
        <w:rPr>
          <w:rFonts w:hint="eastAsia"/>
        </w:rPr>
        <w:t>1、管理学问题：哪类人群的理财需求最容易被激发？营销资源应向哪类人群倾斜？</w:t>
      </w:r>
    </w:p>
    <w:p w14:paraId="37BF76F8">
      <w:pPr>
        <w:spacing w:after="156"/>
        <w:ind w:firstLine="480"/>
      </w:pPr>
      <w:r>
        <w:rPr>
          <w:rFonts w:hint="eastAsia"/>
        </w:rPr>
        <w:t>（1）年龄与风险偏好：箱线图与订阅率分析</w:t>
      </w:r>
    </w:p>
    <w:p w14:paraId="0404CDC5">
      <w:pPr>
        <w:spacing w:after="156"/>
        <w:ind w:firstLine="480"/>
      </w:pPr>
      <w:r>
        <w:rPr>
          <w:rFonts w:hint="eastAsia"/>
        </w:rPr>
        <w:t>①分析方法：箱线图展示整体年龄分布，分组柱状图展示各年龄段订阅率。该分析体现了经典的客户生命周期理论，即不同阶段的客户具有显著差异化的金融需求</w:t>
      </w:r>
      <w:r>
        <w:rPr>
          <w:vertAlign w:val="superscript"/>
        </w:rPr>
        <w:fldChar w:fldCharType="begin"/>
      </w:r>
      <w:r>
        <w:rPr>
          <w:vertAlign w:val="superscript"/>
        </w:rPr>
        <w:instrText xml:space="preserve"> </w:instrText>
      </w:r>
      <w:r>
        <w:rPr>
          <w:rFonts w:hint="eastAsia"/>
          <w:vertAlign w:val="superscript"/>
        </w:rPr>
        <w:instrText xml:space="preserve">REF _Ref229352170 \r \h</w:instrText>
      </w:r>
      <w:r>
        <w:rPr>
          <w:vertAlign w:val="superscript"/>
        </w:rPr>
        <w:instrText xml:space="preserve">  \* MERGEFORMAT </w:instrText>
      </w:r>
      <w:r>
        <w:rPr>
          <w:vertAlign w:val="superscript"/>
        </w:rPr>
        <w:fldChar w:fldCharType="separate"/>
      </w:r>
      <w:r>
        <w:rPr>
          <w:vertAlign w:val="superscript"/>
        </w:rPr>
        <w:t>[6]</w:t>
      </w:r>
      <w:r>
        <w:rPr>
          <w:vertAlign w:val="superscript"/>
        </w:rPr>
        <w:fldChar w:fldCharType="end"/>
      </w:r>
      <w:r>
        <w:rPr>
          <w:rFonts w:hint="eastAsia"/>
        </w:rPr>
        <w:t>。</w:t>
      </w:r>
    </w:p>
    <w:p w14:paraId="6ECA3A12">
      <w:pPr>
        <w:spacing w:after="156"/>
        <w:ind w:firstLine="480"/>
      </w:pPr>
      <w:r>
        <w:rPr>
          <w:rFonts w:hint="eastAsia"/>
        </w:rPr>
        <w:t>②R代码实现：</w:t>
      </w:r>
    </w:p>
    <w:p w14:paraId="50955CAC">
      <w:pPr>
        <w:spacing w:after="156"/>
        <w:ind w:firstLine="0" w:firstLineChars="0"/>
        <w:rPr>
          <w:i/>
          <w:iCs/>
          <w:shd w:val="pct15" w:color="auto" w:fill="FFFFFF"/>
        </w:rPr>
      </w:pPr>
      <w:r>
        <w:rPr>
          <w:i/>
          <w:iCs/>
          <w:shd w:val="pct15" w:color="auto" w:fill="FFFFFF"/>
        </w:rPr>
        <w:t># 1. 年龄分布箱线图</w:t>
      </w:r>
    </w:p>
    <w:p w14:paraId="0D111D56">
      <w:pPr>
        <w:spacing w:after="156"/>
        <w:ind w:firstLine="0" w:firstLineChars="0"/>
        <w:rPr>
          <w:shd w:val="pct15" w:color="auto" w:fill="FFFFFF"/>
        </w:rPr>
      </w:pPr>
      <w:r>
        <w:rPr>
          <w:shd w:val="pct15" w:color="auto" w:fill="FFFFFF"/>
        </w:rPr>
        <w:t xml:space="preserve">ggplot(bank_data, aes(y = age)) + </w:t>
      </w:r>
    </w:p>
    <w:p w14:paraId="649F2077">
      <w:pPr>
        <w:spacing w:after="156"/>
        <w:ind w:firstLine="0" w:firstLineChars="0"/>
        <w:rPr>
          <w:shd w:val="pct15" w:color="auto" w:fill="FFFFFF"/>
        </w:rPr>
      </w:pPr>
      <w:r>
        <w:rPr>
          <w:shd w:val="pct15" w:color="auto" w:fill="FFFFFF"/>
        </w:rPr>
        <w:t xml:space="preserve">  geom_boxplot(fill = "lightblue") + </w:t>
      </w:r>
    </w:p>
    <w:p w14:paraId="47AD6639">
      <w:pPr>
        <w:spacing w:after="156"/>
        <w:ind w:firstLine="0" w:firstLineChars="0"/>
        <w:rPr>
          <w:shd w:val="pct15" w:color="auto" w:fill="FFFFFF"/>
        </w:rPr>
      </w:pPr>
      <w:r>
        <w:rPr>
          <w:shd w:val="pct15" w:color="auto" w:fill="FFFFFF"/>
        </w:rPr>
        <w:t xml:space="preserve">  labs(title = "客户年龄分布箱线图", y = "年龄") +</w:t>
      </w:r>
    </w:p>
    <w:p w14:paraId="03B3BC3A">
      <w:pPr>
        <w:spacing w:after="156"/>
        <w:ind w:firstLine="0" w:firstLineChars="0"/>
        <w:rPr>
          <w:shd w:val="pct15" w:color="auto" w:fill="FFFFFF"/>
        </w:rPr>
      </w:pPr>
      <w:r>
        <w:rPr>
          <w:shd w:val="pct15" w:color="auto" w:fill="FFFFFF"/>
        </w:rPr>
        <w:t xml:space="preserve">  theme_minimal()</w:t>
      </w:r>
    </w:p>
    <w:p w14:paraId="2148A59C">
      <w:pPr>
        <w:spacing w:after="156"/>
        <w:ind w:firstLine="0" w:firstLineChars="0"/>
        <w:rPr>
          <w:i/>
          <w:iCs/>
          <w:shd w:val="pct15" w:color="auto" w:fill="FFFFFF"/>
        </w:rPr>
      </w:pPr>
      <w:r>
        <w:rPr>
          <w:i/>
          <w:iCs/>
          <w:shd w:val="pct15" w:color="auto" w:fill="FFFFFF"/>
        </w:rPr>
        <w:t># 2. 年龄分组订阅率柱状图</w:t>
      </w:r>
    </w:p>
    <w:p w14:paraId="7B060F69">
      <w:pPr>
        <w:spacing w:after="156"/>
        <w:ind w:firstLine="0" w:firstLineChars="0"/>
        <w:rPr>
          <w:shd w:val="pct15" w:color="auto" w:fill="FFFFFF"/>
        </w:rPr>
      </w:pPr>
      <w:r>
        <w:rPr>
          <w:shd w:val="pct15" w:color="auto" w:fill="FFFFFF"/>
        </w:rPr>
        <w:t>age_analysis &lt;- bank_data %&gt;%</w:t>
      </w:r>
    </w:p>
    <w:p w14:paraId="328A22C3">
      <w:pPr>
        <w:spacing w:after="156"/>
        <w:ind w:firstLine="0" w:firstLineChars="0"/>
        <w:rPr>
          <w:shd w:val="pct15" w:color="auto" w:fill="FFFFFF"/>
        </w:rPr>
      </w:pPr>
      <w:r>
        <w:rPr>
          <w:shd w:val="pct15" w:color="auto" w:fill="FFFFFF"/>
        </w:rPr>
        <w:t xml:space="preserve">  group_by(age_group) %&gt;%</w:t>
      </w:r>
    </w:p>
    <w:p w14:paraId="786450CD">
      <w:pPr>
        <w:spacing w:after="156"/>
        <w:ind w:firstLine="0" w:firstLineChars="0"/>
        <w:rPr>
          <w:shd w:val="pct15" w:color="auto" w:fill="FFFFFF"/>
        </w:rPr>
      </w:pPr>
      <w:r>
        <w:rPr>
          <w:shd w:val="pct15" w:color="auto" w:fill="FFFFFF"/>
        </w:rPr>
        <w:t xml:space="preserve">  summarise(订阅率 = round(mean(y_num) * 100, 2))</w:t>
      </w:r>
    </w:p>
    <w:p w14:paraId="3E6A7851">
      <w:pPr>
        <w:spacing w:after="156"/>
        <w:ind w:firstLine="0" w:firstLineChars="0"/>
        <w:rPr>
          <w:shd w:val="pct15" w:color="auto" w:fill="FFFFFF"/>
        </w:rPr>
      </w:pPr>
      <w:r>
        <w:rPr>
          <w:shd w:val="pct15" w:color="auto" w:fill="FFFFFF"/>
        </w:rPr>
        <w:t>print(age_analysis)</w:t>
      </w:r>
    </w:p>
    <w:p w14:paraId="15967F50">
      <w:pPr>
        <w:spacing w:after="156"/>
        <w:ind w:firstLine="0" w:firstLineChars="0"/>
        <w:rPr>
          <w:shd w:val="pct15" w:color="auto" w:fill="FFFFFF"/>
        </w:rPr>
      </w:pPr>
      <w:r>
        <w:rPr>
          <w:shd w:val="pct15" w:color="auto" w:fill="FFFFFF"/>
        </w:rPr>
        <w:t>ggplot(age_analysis, aes(x = age_group, y = 订阅率, fill = age_group)) +</w:t>
      </w:r>
    </w:p>
    <w:p w14:paraId="499EE944">
      <w:pPr>
        <w:spacing w:after="156"/>
        <w:ind w:firstLine="0" w:firstLineChars="0"/>
        <w:rPr>
          <w:shd w:val="pct15" w:color="auto" w:fill="FFFFFF"/>
        </w:rPr>
      </w:pPr>
      <w:r>
        <w:rPr>
          <w:shd w:val="pct15" w:color="auto" w:fill="FFFFFF"/>
        </w:rPr>
        <w:t xml:space="preserve">  geom_bar(stat = "identity") +</w:t>
      </w:r>
    </w:p>
    <w:p w14:paraId="7067C14C">
      <w:pPr>
        <w:spacing w:after="156"/>
        <w:ind w:firstLine="0" w:firstLineChars="0"/>
        <w:rPr>
          <w:shd w:val="pct15" w:color="auto" w:fill="FFFFFF"/>
        </w:rPr>
      </w:pPr>
      <w:r>
        <w:rPr>
          <w:shd w:val="pct15" w:color="auto" w:fill="FFFFFF"/>
        </w:rPr>
        <w:t xml:space="preserve">  geom_text(aes(label = paste0(订阅率, "%")), vjust = -0.5) +</w:t>
      </w:r>
    </w:p>
    <w:p w14:paraId="576F7A84">
      <w:pPr>
        <w:spacing w:after="156"/>
        <w:ind w:firstLine="0" w:firstLineChars="0"/>
        <w:rPr>
          <w:shd w:val="pct15" w:color="auto" w:fill="FFFFFF"/>
        </w:rPr>
      </w:pPr>
      <w:r>
        <w:rPr>
          <w:shd w:val="pct15" w:color="auto" w:fill="FFFFFF"/>
        </w:rPr>
        <w:t xml:space="preserve">  labs(title = "不同年龄段的定期存款订阅率", x = "年龄段", y = "订阅率 (%)") +</w:t>
      </w:r>
    </w:p>
    <w:p w14:paraId="5EBE736B">
      <w:pPr>
        <w:spacing w:after="156"/>
        <w:ind w:firstLine="0" w:firstLineChars="0"/>
        <w:rPr>
          <w:shd w:val="pct15" w:color="auto" w:fill="FFFFFF"/>
        </w:rPr>
      </w:pPr>
      <w:r>
        <w:rPr>
          <w:shd w:val="pct15" w:color="auto" w:fill="FFFFFF"/>
        </w:rPr>
        <w:t xml:space="preserve">  theme_minimal() + theme(legend.position = "none")</w:t>
      </w:r>
    </w:p>
    <w:p w14:paraId="5757B6A0">
      <w:pPr>
        <w:spacing w:after="156"/>
        <w:ind w:firstLine="0" w:firstLineChars="0"/>
        <w:jc w:val="center"/>
      </w:pPr>
      <w:r>
        <w:drawing>
          <wp:inline distT="0" distB="0" distL="0" distR="0">
            <wp:extent cx="5274310" cy="2522220"/>
            <wp:effectExtent l="0" t="0" r="2540" b="0"/>
            <wp:docPr id="8734145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14547" name="图片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2522220"/>
                    </a:xfrm>
                    <a:prstGeom prst="rect">
                      <a:avLst/>
                    </a:prstGeom>
                    <a:noFill/>
                    <a:ln>
                      <a:noFill/>
                    </a:ln>
                  </pic:spPr>
                </pic:pic>
              </a:graphicData>
            </a:graphic>
          </wp:inline>
        </w:drawing>
      </w:r>
      <w:r>
        <w:t xml:space="preserve"> </w:t>
      </w:r>
    </w:p>
    <w:p w14:paraId="1903D1D7">
      <w:pPr>
        <w:spacing w:after="156"/>
        <w:ind w:firstLine="0" w:firstLineChars="0"/>
        <w:jc w:val="center"/>
        <w:rPr>
          <w:b/>
          <w:bCs/>
          <w:sz w:val="21"/>
          <w:szCs w:val="20"/>
        </w:rPr>
      </w:pPr>
      <w:r>
        <w:rPr>
          <w:rFonts w:hint="eastAsia"/>
          <w:b/>
          <w:bCs/>
          <w:sz w:val="21"/>
          <w:szCs w:val="20"/>
        </w:rPr>
        <w:t>图3-5 绘制箱线图和柱状图</w:t>
      </w:r>
    </w:p>
    <w:p w14:paraId="33748EE8">
      <w:pPr>
        <w:spacing w:after="156"/>
        <w:ind w:firstLine="0" w:firstLineChars="0"/>
        <w:jc w:val="center"/>
        <w:rPr>
          <w:b/>
          <w:bCs/>
          <w:sz w:val="21"/>
          <w:szCs w:val="20"/>
        </w:rPr>
      </w:pPr>
      <w:r>
        <w:drawing>
          <wp:inline distT="0" distB="0" distL="0" distR="0">
            <wp:extent cx="4784090" cy="3749675"/>
            <wp:effectExtent l="0" t="0" r="0" b="3175"/>
            <wp:docPr id="193876109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61095" name="图片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792374" cy="3756242"/>
                    </a:xfrm>
                    <a:prstGeom prst="rect">
                      <a:avLst/>
                    </a:prstGeom>
                    <a:noFill/>
                    <a:ln>
                      <a:noFill/>
                    </a:ln>
                  </pic:spPr>
                </pic:pic>
              </a:graphicData>
            </a:graphic>
          </wp:inline>
        </w:drawing>
      </w:r>
    </w:p>
    <w:p w14:paraId="0FD82E5A">
      <w:pPr>
        <w:spacing w:after="156"/>
        <w:ind w:firstLine="0" w:firstLineChars="0"/>
        <w:jc w:val="center"/>
        <w:rPr>
          <w:b/>
          <w:bCs/>
          <w:sz w:val="21"/>
          <w:szCs w:val="20"/>
        </w:rPr>
      </w:pPr>
      <w:r>
        <w:rPr>
          <w:rFonts w:hint="eastAsia"/>
          <w:b/>
          <w:bCs/>
          <w:sz w:val="21"/>
          <w:szCs w:val="20"/>
        </w:rPr>
        <w:t>图3-6 客户年龄分布箱线图</w:t>
      </w:r>
    </w:p>
    <w:p w14:paraId="6D1981E7">
      <w:pPr>
        <w:spacing w:after="156"/>
        <w:ind w:firstLine="0" w:firstLineChars="0"/>
        <w:jc w:val="center"/>
        <w:rPr>
          <w:b/>
          <w:bCs/>
          <w:sz w:val="21"/>
          <w:szCs w:val="20"/>
        </w:rPr>
      </w:pPr>
      <w:r>
        <w:rPr>
          <w:b/>
          <w:bCs/>
          <w:sz w:val="21"/>
          <w:szCs w:val="20"/>
        </w:rPr>
        <w:drawing>
          <wp:inline distT="0" distB="0" distL="0" distR="0">
            <wp:extent cx="5274310" cy="3296285"/>
            <wp:effectExtent l="0" t="0" r="2540" b="0"/>
            <wp:docPr id="162727790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7904" name="图片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74310" cy="3296285"/>
                    </a:xfrm>
                    <a:prstGeom prst="rect">
                      <a:avLst/>
                    </a:prstGeom>
                    <a:noFill/>
                    <a:ln>
                      <a:noFill/>
                    </a:ln>
                  </pic:spPr>
                </pic:pic>
              </a:graphicData>
            </a:graphic>
          </wp:inline>
        </w:drawing>
      </w:r>
    </w:p>
    <w:p w14:paraId="742BCB53">
      <w:pPr>
        <w:spacing w:after="156"/>
        <w:ind w:firstLine="0" w:firstLineChars="0"/>
        <w:jc w:val="center"/>
        <w:rPr>
          <w:b/>
          <w:bCs/>
          <w:sz w:val="21"/>
          <w:szCs w:val="20"/>
        </w:rPr>
      </w:pPr>
      <w:r>
        <w:rPr>
          <w:rFonts w:hint="eastAsia"/>
          <w:b/>
          <w:bCs/>
          <w:sz w:val="21"/>
          <w:szCs w:val="20"/>
        </w:rPr>
        <w:t xml:space="preserve">图3-7 </w:t>
      </w:r>
      <w:r>
        <w:rPr>
          <w:b/>
          <w:bCs/>
          <w:sz w:val="21"/>
          <w:szCs w:val="20"/>
        </w:rPr>
        <w:t>年龄订阅率柱状图</w:t>
      </w:r>
    </w:p>
    <w:p w14:paraId="073A98A4">
      <w:pPr>
        <w:spacing w:after="156"/>
        <w:ind w:firstLine="480"/>
      </w:pPr>
      <w:r>
        <w:rPr>
          <w:rFonts w:hint="eastAsia"/>
        </w:rPr>
        <w:t>②</w:t>
      </w:r>
      <w:r>
        <w:t>分析结论：</w:t>
      </w:r>
    </w:p>
    <w:p w14:paraId="664A8B02">
      <w:pPr>
        <w:keepNext w:val="0"/>
        <w:keepLines w:val="0"/>
        <w:pageBreakBefore w:val="0"/>
        <w:widowControl w:val="0"/>
        <w:kinsoku/>
        <w:wordWrap/>
        <w:overflowPunct/>
        <w:topLinePunct w:val="0"/>
        <w:autoSpaceDE/>
        <w:autoSpaceDN/>
        <w:bidi w:val="0"/>
        <w:adjustRightInd/>
        <w:snapToGrid w:val="0"/>
        <w:spacing w:after="0" w:afterLines="0"/>
        <w:ind w:firstLine="0" w:firstLineChars="0"/>
        <w:jc w:val="center"/>
        <w:textAlignment w:val="auto"/>
        <w:rPr>
          <w:b/>
          <w:bCs/>
          <w:sz w:val="21"/>
          <w:szCs w:val="20"/>
        </w:rPr>
      </w:pPr>
      <w:r>
        <w:rPr>
          <w:rFonts w:hint="eastAsia"/>
          <w:b/>
          <w:bCs/>
          <w:sz w:val="21"/>
          <w:szCs w:val="20"/>
        </w:rPr>
        <w:t>表3-1 不同年龄段订阅率</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2"/>
        <w:gridCol w:w="5270"/>
      </w:tblGrid>
      <w:tr w14:paraId="480AC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0" w:type="auto"/>
            <w:tcBorders>
              <w:top w:val="single" w:color="000000" w:sz="12" w:space="0"/>
              <w:left w:val="nil"/>
              <w:bottom w:val="single" w:color="000000" w:sz="6" w:space="0"/>
              <w:right w:val="nil"/>
            </w:tcBorders>
            <w:vAlign w:val="center"/>
          </w:tcPr>
          <w:p w14:paraId="08B0672F">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年龄段</w:t>
            </w:r>
          </w:p>
        </w:tc>
        <w:tc>
          <w:tcPr>
            <w:tcW w:w="0" w:type="auto"/>
            <w:tcBorders>
              <w:top w:val="single" w:color="000000" w:sz="12" w:space="0"/>
              <w:left w:val="nil"/>
              <w:bottom w:val="single" w:color="000000" w:sz="6" w:space="0"/>
              <w:right w:val="nil"/>
            </w:tcBorders>
            <w:vAlign w:val="center"/>
          </w:tcPr>
          <w:p w14:paraId="72733024">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rFonts w:hint="eastAsia" w:ascii="黑体" w:hAnsi="黑体" w:eastAsia="黑体"/>
                <w:sz w:val="21"/>
                <w:szCs w:val="20"/>
              </w:rPr>
            </w:pPr>
            <w:r>
              <w:rPr>
                <w:rFonts w:ascii="黑体" w:hAnsi="黑体" w:eastAsia="黑体"/>
                <w:sz w:val="21"/>
                <w:szCs w:val="20"/>
              </w:rPr>
              <w:t>订阅率（%）</w:t>
            </w:r>
          </w:p>
        </w:tc>
      </w:tr>
      <w:tr w14:paraId="3A07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0" w:type="auto"/>
            <w:tcBorders>
              <w:top w:val="single" w:color="000000" w:sz="6" w:space="0"/>
              <w:left w:val="nil"/>
              <w:bottom w:val="nil"/>
              <w:right w:val="nil"/>
            </w:tcBorders>
            <w:vAlign w:val="center"/>
          </w:tcPr>
          <w:p w14:paraId="6154AC1B">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18-25</w:t>
            </w:r>
          </w:p>
        </w:tc>
        <w:tc>
          <w:tcPr>
            <w:tcW w:w="0" w:type="auto"/>
            <w:tcBorders>
              <w:top w:val="single" w:color="000000" w:sz="6" w:space="0"/>
              <w:left w:val="nil"/>
              <w:bottom w:val="nil"/>
              <w:right w:val="nil"/>
            </w:tcBorders>
            <w:vAlign w:val="center"/>
          </w:tcPr>
          <w:p w14:paraId="085B84F1">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24.00</w:t>
            </w:r>
          </w:p>
        </w:tc>
      </w:tr>
      <w:tr w14:paraId="00E5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0" w:type="auto"/>
            <w:tcBorders>
              <w:top w:val="nil"/>
              <w:left w:val="nil"/>
              <w:bottom w:val="nil"/>
              <w:right w:val="nil"/>
            </w:tcBorders>
            <w:vAlign w:val="center"/>
          </w:tcPr>
          <w:p w14:paraId="591298B6">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26-35</w:t>
            </w:r>
          </w:p>
        </w:tc>
        <w:tc>
          <w:tcPr>
            <w:tcW w:w="0" w:type="auto"/>
            <w:tcBorders>
              <w:top w:val="nil"/>
              <w:left w:val="nil"/>
              <w:bottom w:val="nil"/>
              <w:right w:val="nil"/>
            </w:tcBorders>
            <w:vAlign w:val="center"/>
          </w:tcPr>
          <w:p w14:paraId="39796359">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12.00</w:t>
            </w:r>
          </w:p>
        </w:tc>
      </w:tr>
      <w:tr w14:paraId="3F689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0" w:type="auto"/>
            <w:tcBorders>
              <w:top w:val="nil"/>
              <w:left w:val="nil"/>
              <w:bottom w:val="nil"/>
              <w:right w:val="nil"/>
            </w:tcBorders>
            <w:vAlign w:val="center"/>
          </w:tcPr>
          <w:p w14:paraId="6EA45C9E">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36-45</w:t>
            </w:r>
          </w:p>
        </w:tc>
        <w:tc>
          <w:tcPr>
            <w:tcW w:w="0" w:type="auto"/>
            <w:tcBorders>
              <w:top w:val="nil"/>
              <w:left w:val="nil"/>
              <w:bottom w:val="nil"/>
              <w:right w:val="nil"/>
            </w:tcBorders>
            <w:vAlign w:val="center"/>
          </w:tcPr>
          <w:p w14:paraId="3281FA35">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9.39</w:t>
            </w:r>
          </w:p>
        </w:tc>
      </w:tr>
      <w:tr w14:paraId="47BF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0" w:type="auto"/>
            <w:tcBorders>
              <w:top w:val="nil"/>
              <w:left w:val="nil"/>
              <w:bottom w:val="nil"/>
              <w:right w:val="nil"/>
            </w:tcBorders>
            <w:vAlign w:val="center"/>
          </w:tcPr>
          <w:p w14:paraId="2B42B4AF">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46-55</w:t>
            </w:r>
          </w:p>
        </w:tc>
        <w:tc>
          <w:tcPr>
            <w:tcW w:w="0" w:type="auto"/>
            <w:tcBorders>
              <w:top w:val="nil"/>
              <w:left w:val="nil"/>
              <w:bottom w:val="nil"/>
              <w:right w:val="nil"/>
            </w:tcBorders>
            <w:vAlign w:val="center"/>
          </w:tcPr>
          <w:p w14:paraId="391A79D0">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9.35</w:t>
            </w:r>
          </w:p>
        </w:tc>
      </w:tr>
      <w:tr w14:paraId="4B56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0" w:type="auto"/>
            <w:tcBorders>
              <w:top w:val="nil"/>
              <w:left w:val="nil"/>
              <w:bottom w:val="nil"/>
              <w:right w:val="nil"/>
            </w:tcBorders>
            <w:vAlign w:val="center"/>
          </w:tcPr>
          <w:p w14:paraId="28A8CD9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56-65</w:t>
            </w:r>
          </w:p>
        </w:tc>
        <w:tc>
          <w:tcPr>
            <w:tcW w:w="0" w:type="auto"/>
            <w:tcBorders>
              <w:top w:val="nil"/>
              <w:left w:val="nil"/>
              <w:bottom w:val="nil"/>
              <w:right w:val="nil"/>
            </w:tcBorders>
            <w:vAlign w:val="center"/>
          </w:tcPr>
          <w:p w14:paraId="6EE4672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14.12</w:t>
            </w:r>
          </w:p>
        </w:tc>
      </w:tr>
      <w:tr w14:paraId="3331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0" w:type="auto"/>
            <w:tcBorders>
              <w:top w:val="nil"/>
              <w:left w:val="nil"/>
              <w:bottom w:val="single" w:color="000000" w:sz="12" w:space="0"/>
              <w:right w:val="nil"/>
            </w:tcBorders>
            <w:vAlign w:val="center"/>
          </w:tcPr>
          <w:p w14:paraId="4B62B738">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65+</w:t>
            </w:r>
          </w:p>
        </w:tc>
        <w:tc>
          <w:tcPr>
            <w:tcW w:w="0" w:type="auto"/>
            <w:tcBorders>
              <w:top w:val="nil"/>
              <w:left w:val="nil"/>
              <w:bottom w:val="single" w:color="000000" w:sz="12" w:space="0"/>
              <w:right w:val="nil"/>
            </w:tcBorders>
            <w:vAlign w:val="center"/>
          </w:tcPr>
          <w:p w14:paraId="251BB66A">
            <w:pPr>
              <w:keepNext w:val="0"/>
              <w:keepLines w:val="0"/>
              <w:pageBreakBefore w:val="0"/>
              <w:widowControl w:val="0"/>
              <w:kinsoku/>
              <w:wordWrap/>
              <w:overflowPunct/>
              <w:topLinePunct w:val="0"/>
              <w:autoSpaceDE/>
              <w:autoSpaceDN/>
              <w:bidi w:val="0"/>
              <w:adjustRightInd/>
              <w:snapToGrid w:val="0"/>
              <w:spacing w:after="0" w:afterLines="0" w:line="240" w:lineRule="auto"/>
              <w:ind w:firstLine="0" w:firstLineChars="0"/>
              <w:jc w:val="center"/>
              <w:textAlignment w:val="auto"/>
              <w:rPr>
                <w:sz w:val="21"/>
                <w:szCs w:val="20"/>
              </w:rPr>
            </w:pPr>
            <w:r>
              <w:rPr>
                <w:sz w:val="21"/>
                <w:szCs w:val="20"/>
              </w:rPr>
              <w:t>42.61</w:t>
            </w:r>
          </w:p>
        </w:tc>
      </w:tr>
    </w:tbl>
    <w:p w14:paraId="5585A2F7">
      <w:pPr>
        <w:spacing w:after="156"/>
        <w:ind w:firstLine="0" w:firstLineChars="0"/>
        <w:jc w:val="center"/>
        <w:rPr>
          <w:b/>
          <w:bCs/>
          <w:sz w:val="21"/>
          <w:szCs w:val="20"/>
        </w:rPr>
      </w:pPr>
    </w:p>
    <w:p w14:paraId="3C7EBA09">
      <w:pPr>
        <w:spacing w:after="156"/>
        <w:ind w:firstLine="480"/>
      </w:pPr>
      <w:r>
        <w:t>数据显示，65岁以上的“银发客群”订阅率高达42.6%，远超其他年龄段。这完美符合客户生命周期理论，该阶段客户风险厌恶程度极高，对资金安全性的需求远高于收益性，因此对保本保息的定期存款产品有强烈偏好。“银发经济”是银行不可忽视的蓝海市场。</w:t>
      </w:r>
    </w:p>
    <w:p w14:paraId="788DB711">
      <w:pPr>
        <w:spacing w:after="156"/>
        <w:ind w:firstLine="480"/>
      </w:pPr>
      <w:r>
        <w:rPr>
          <w:rFonts w:hint="eastAsia"/>
        </w:rPr>
        <w:t>（2）教育水平与金融决策</w:t>
      </w:r>
    </w:p>
    <w:p w14:paraId="19BA1D14">
      <w:pPr>
        <w:spacing w:after="156"/>
        <w:ind w:firstLine="480"/>
      </w:pPr>
      <w:r>
        <w:rPr>
          <w:rFonts w:hint="eastAsia"/>
        </w:rPr>
        <w:t>①分析方法：分组柱状图</w:t>
      </w:r>
    </w:p>
    <w:p w14:paraId="096DBF1F">
      <w:pPr>
        <w:spacing w:after="156"/>
        <w:ind w:firstLine="480"/>
      </w:pPr>
      <w:r>
        <w:rPr>
          <w:rFonts w:hint="eastAsia"/>
        </w:rPr>
        <w:t>②R代码实现：</w:t>
      </w:r>
    </w:p>
    <w:p w14:paraId="58CD9B78">
      <w:pPr>
        <w:spacing w:after="156"/>
        <w:ind w:firstLine="0" w:firstLineChars="0"/>
        <w:rPr>
          <w:shd w:val="pct15" w:color="auto" w:fill="FFFFFF"/>
        </w:rPr>
      </w:pPr>
      <w:r>
        <w:rPr>
          <w:shd w:val="pct15" w:color="auto" w:fill="FFFFFF"/>
        </w:rPr>
        <w:t xml:space="preserve"># 教育水平订阅率 </w:t>
      </w:r>
    </w:p>
    <w:p w14:paraId="2D92F1C2">
      <w:pPr>
        <w:spacing w:after="156"/>
        <w:ind w:firstLine="0" w:firstLineChars="0"/>
        <w:rPr>
          <w:shd w:val="pct15" w:color="auto" w:fill="FFFFFF"/>
        </w:rPr>
      </w:pPr>
      <w:r>
        <w:rPr>
          <w:shd w:val="pct15" w:color="auto" w:fill="FFFFFF"/>
        </w:rPr>
        <w:t xml:space="preserve">edu_analysis &lt;- bank_data %&gt;% </w:t>
      </w:r>
    </w:p>
    <w:p w14:paraId="5A8E8B95">
      <w:pPr>
        <w:spacing w:after="156"/>
        <w:ind w:firstLine="240" w:firstLineChars="100"/>
        <w:rPr>
          <w:shd w:val="pct15" w:color="auto" w:fill="FFFFFF"/>
        </w:rPr>
      </w:pPr>
      <w:r>
        <w:rPr>
          <w:shd w:val="pct15" w:color="auto" w:fill="FFFFFF"/>
        </w:rPr>
        <w:t xml:space="preserve">group_by(education) %&gt;% </w:t>
      </w:r>
    </w:p>
    <w:p w14:paraId="03F1A420">
      <w:pPr>
        <w:spacing w:after="156"/>
        <w:ind w:firstLine="240" w:firstLineChars="100"/>
        <w:rPr>
          <w:shd w:val="pct15" w:color="auto" w:fill="FFFFFF"/>
        </w:rPr>
      </w:pPr>
      <w:r>
        <w:rPr>
          <w:shd w:val="pct15" w:color="auto" w:fill="FFFFFF"/>
        </w:rPr>
        <w:t xml:space="preserve">summarise( </w:t>
      </w:r>
    </w:p>
    <w:p w14:paraId="73CD468C">
      <w:pPr>
        <w:spacing w:after="156"/>
        <w:ind w:firstLine="480" w:firstLineChars="200"/>
        <w:rPr>
          <w:shd w:val="pct15" w:color="auto" w:fill="FFFFFF"/>
        </w:rPr>
      </w:pPr>
      <w:r>
        <w:rPr>
          <w:shd w:val="pct15" w:color="auto" w:fill="FFFFFF"/>
        </w:rPr>
        <w:t xml:space="preserve">客户数 = n(), </w:t>
      </w:r>
    </w:p>
    <w:p w14:paraId="774F273B">
      <w:pPr>
        <w:spacing w:after="156"/>
        <w:ind w:firstLine="480" w:firstLineChars="200"/>
        <w:rPr>
          <w:shd w:val="pct15" w:color="auto" w:fill="FFFFFF"/>
        </w:rPr>
      </w:pPr>
      <w:r>
        <w:rPr>
          <w:shd w:val="pct15" w:color="auto" w:fill="FFFFFF"/>
        </w:rPr>
        <w:t xml:space="preserve">订阅数 = sum(y_num), </w:t>
      </w:r>
    </w:p>
    <w:p w14:paraId="641D5400">
      <w:pPr>
        <w:spacing w:after="156"/>
        <w:ind w:firstLine="480" w:firstLineChars="200"/>
        <w:rPr>
          <w:shd w:val="pct15" w:color="auto" w:fill="FFFFFF"/>
        </w:rPr>
      </w:pPr>
      <w:r>
        <w:rPr>
          <w:shd w:val="pct15" w:color="auto" w:fill="FFFFFF"/>
        </w:rPr>
        <w:t xml:space="preserve">订阅率 = round(订阅数 / 客户数 * 100, 2) </w:t>
      </w:r>
    </w:p>
    <w:p w14:paraId="57F8EFA6">
      <w:pPr>
        <w:spacing w:after="156"/>
        <w:ind w:left="0" w:leftChars="0" w:firstLine="240" w:firstLineChars="100"/>
        <w:rPr>
          <w:shd w:val="pct15" w:color="auto" w:fill="FFFFFF"/>
        </w:rPr>
      </w:pPr>
      <w:r>
        <w:rPr>
          <w:shd w:val="pct15" w:color="auto" w:fill="FFFFFF"/>
        </w:rPr>
        <w:t xml:space="preserve">) %&gt;% </w:t>
      </w:r>
    </w:p>
    <w:p w14:paraId="14158DB1">
      <w:pPr>
        <w:spacing w:after="156"/>
        <w:ind w:left="0" w:leftChars="0" w:firstLine="240" w:firstLineChars="100"/>
        <w:rPr>
          <w:shd w:val="pct15" w:color="auto" w:fill="FFFFFF"/>
        </w:rPr>
      </w:pPr>
      <w:r>
        <w:rPr>
          <w:shd w:val="pct15" w:color="auto" w:fill="FFFFFF"/>
        </w:rPr>
        <w:t xml:space="preserve">arrange(desc(订阅率)) </w:t>
      </w:r>
    </w:p>
    <w:p w14:paraId="4543184A">
      <w:pPr>
        <w:spacing w:after="156"/>
        <w:ind w:left="0" w:leftChars="0" w:firstLine="0" w:firstLineChars="0"/>
        <w:rPr>
          <w:shd w:val="pct15" w:color="auto" w:fill="FFFFFF"/>
        </w:rPr>
      </w:pPr>
      <w:r>
        <w:rPr>
          <w:shd w:val="pct15" w:color="auto" w:fill="FFFFFF"/>
        </w:rPr>
        <w:t xml:space="preserve"># 打印结果表格 </w:t>
      </w:r>
    </w:p>
    <w:p w14:paraId="6B6DAE76">
      <w:pPr>
        <w:spacing w:after="156"/>
        <w:ind w:left="0" w:leftChars="0" w:firstLine="0" w:firstLineChars="0"/>
        <w:rPr>
          <w:shd w:val="pct15" w:color="auto" w:fill="FFFFFF"/>
        </w:rPr>
      </w:pPr>
      <w:r>
        <w:rPr>
          <w:shd w:val="pct15" w:color="auto" w:fill="FFFFFF"/>
        </w:rPr>
        <w:t xml:space="preserve">print(edu_analysis) </w:t>
      </w:r>
    </w:p>
    <w:p w14:paraId="5B7CB937">
      <w:pPr>
        <w:spacing w:after="156"/>
        <w:ind w:left="0" w:leftChars="0" w:firstLine="0" w:firstLineChars="0"/>
        <w:rPr>
          <w:shd w:val="pct15" w:color="auto" w:fill="FFFFFF"/>
        </w:rPr>
      </w:pPr>
      <w:r>
        <w:rPr>
          <w:shd w:val="pct15" w:color="auto" w:fill="FFFFFF"/>
        </w:rPr>
        <w:t xml:space="preserve"># 绘制柱状图 </w:t>
      </w:r>
    </w:p>
    <w:p w14:paraId="42122205">
      <w:pPr>
        <w:spacing w:after="156"/>
        <w:ind w:left="0" w:leftChars="0" w:firstLine="0" w:firstLineChars="0"/>
        <w:rPr>
          <w:shd w:val="pct15" w:color="auto" w:fill="FFFFFF"/>
        </w:rPr>
      </w:pPr>
      <w:r>
        <w:rPr>
          <w:shd w:val="pct15" w:color="auto" w:fill="FFFFFF"/>
        </w:rPr>
        <w:t xml:space="preserve">ggplot(edu_analysis, aes(x = reorder(education, -订阅率), y = 订阅率, fill = education)) + </w:t>
      </w:r>
    </w:p>
    <w:p w14:paraId="7C16DD97">
      <w:pPr>
        <w:spacing w:after="156"/>
        <w:ind w:left="0" w:leftChars="0" w:firstLine="240" w:firstLineChars="100"/>
        <w:rPr>
          <w:shd w:val="pct15" w:color="auto" w:fill="FFFFFF"/>
        </w:rPr>
      </w:pPr>
      <w:r>
        <w:rPr>
          <w:shd w:val="pct15" w:color="auto" w:fill="FFFFFF"/>
        </w:rPr>
        <w:t xml:space="preserve">geom_bar(stat = "identity") + </w:t>
      </w:r>
    </w:p>
    <w:p w14:paraId="39BA830E">
      <w:pPr>
        <w:spacing w:after="156"/>
        <w:ind w:left="0" w:leftChars="0" w:firstLine="240" w:firstLineChars="100"/>
        <w:rPr>
          <w:shd w:val="pct15" w:color="auto" w:fill="FFFFFF"/>
        </w:rPr>
      </w:pPr>
      <w:r>
        <w:rPr>
          <w:shd w:val="pct15" w:color="auto" w:fill="FFFFFF"/>
        </w:rPr>
        <w:t xml:space="preserve">geom_text(aes(label = paste0(订阅率, "%")), vjust = -0.5, size = 4) + </w:t>
      </w:r>
    </w:p>
    <w:p w14:paraId="5C761B8C">
      <w:pPr>
        <w:spacing w:after="156"/>
        <w:ind w:left="0" w:leftChars="0" w:firstLine="240" w:firstLineChars="100"/>
        <w:rPr>
          <w:shd w:val="pct15" w:color="auto" w:fill="FFFFFF"/>
        </w:rPr>
      </w:pPr>
      <w:r>
        <w:rPr>
          <w:shd w:val="pct15" w:color="auto" w:fill="FFFFFF"/>
        </w:rPr>
        <w:t>labs(title = "不同教育水平的定期存款订阅率",</w:t>
      </w:r>
    </w:p>
    <w:p w14:paraId="44C21BF0">
      <w:pPr>
        <w:spacing w:after="156"/>
        <w:ind w:left="0" w:leftChars="0" w:firstLine="720" w:firstLineChars="300"/>
        <w:rPr>
          <w:shd w:val="pct15" w:color="auto" w:fill="FFFFFF"/>
        </w:rPr>
      </w:pPr>
      <w:r>
        <w:rPr>
          <w:shd w:val="pct15" w:color="auto" w:fill="FFFFFF"/>
        </w:rPr>
        <w:t xml:space="preserve"> x = "教育水平", </w:t>
      </w:r>
    </w:p>
    <w:p w14:paraId="7522CE0C">
      <w:pPr>
        <w:spacing w:after="156"/>
        <w:ind w:left="0" w:leftChars="0" w:firstLine="720" w:firstLineChars="300"/>
        <w:rPr>
          <w:shd w:val="pct15" w:color="auto" w:fill="FFFFFF"/>
        </w:rPr>
      </w:pPr>
      <w:r>
        <w:rPr>
          <w:shd w:val="pct15" w:color="auto" w:fill="FFFFFF"/>
        </w:rPr>
        <w:t xml:space="preserve">y = "订阅率 (%)") + </w:t>
      </w:r>
    </w:p>
    <w:p w14:paraId="5FDCA8A0">
      <w:pPr>
        <w:spacing w:after="156"/>
        <w:ind w:left="0" w:leftChars="0" w:firstLine="240" w:firstLineChars="100"/>
        <w:rPr>
          <w:shd w:val="pct15" w:color="auto" w:fill="FFFFFF"/>
        </w:rPr>
      </w:pPr>
      <w:r>
        <w:rPr>
          <w:shd w:val="pct15" w:color="auto" w:fill="FFFFFF"/>
        </w:rPr>
        <w:t xml:space="preserve">theme_minimal() + </w:t>
      </w:r>
    </w:p>
    <w:p w14:paraId="458A82E8">
      <w:pPr>
        <w:spacing w:after="156"/>
        <w:ind w:left="0" w:leftChars="0" w:firstLine="240" w:firstLineChars="100"/>
        <w:rPr>
          <w:shd w:val="pct15" w:color="auto" w:fill="FFFFFF"/>
        </w:rPr>
      </w:pPr>
      <w:r>
        <w:rPr>
          <w:shd w:val="pct15" w:color="auto" w:fill="FFFFFF"/>
        </w:rPr>
        <w:t xml:space="preserve">theme(legend.position = "none") </w:t>
      </w:r>
    </w:p>
    <w:p w14:paraId="00B6E9F8">
      <w:pPr>
        <w:spacing w:after="156"/>
        <w:ind w:left="0" w:leftChars="0" w:firstLine="0" w:firstLineChars="0"/>
        <w:rPr>
          <w:shd w:val="pct15" w:color="auto" w:fill="FFFFFF"/>
        </w:rPr>
      </w:pPr>
      <w:r>
        <w:rPr>
          <w:shd w:val="pct15" w:color="auto" w:fill="FFFFFF"/>
        </w:rPr>
        <w:t xml:space="preserve"># 保存图片 </w:t>
      </w:r>
    </w:p>
    <w:p w14:paraId="7E05E174">
      <w:pPr>
        <w:spacing w:after="156"/>
        <w:ind w:left="0" w:leftChars="0" w:firstLine="0" w:firstLineChars="0"/>
        <w:rPr>
          <w:shd w:val="pct15" w:color="auto" w:fill="FFFFFF"/>
        </w:rPr>
      </w:pPr>
      <w:r>
        <w:rPr>
          <w:shd w:val="pct15" w:color="auto" w:fill="FFFFFF"/>
        </w:rPr>
        <w:t xml:space="preserve">ggsave("education_subscription_rate.png", width = 8, height = 5) </w:t>
      </w:r>
    </w:p>
    <w:p w14:paraId="4F5E98D3">
      <w:pPr>
        <w:spacing w:after="156"/>
        <w:ind w:left="0" w:leftChars="0" w:firstLine="0" w:firstLineChars="0"/>
        <w:rPr>
          <w:shd w:val="pct15" w:color="auto" w:fill="FFFFFF"/>
        </w:rPr>
      </w:pPr>
      <w:r>
        <w:rPr>
          <w:shd w:val="pct15" w:color="auto" w:fill="FFFFFF"/>
        </w:rPr>
        <w:t>View(edu_analysis)</w:t>
      </w:r>
    </w:p>
    <w:p w14:paraId="2A8A3AE5">
      <w:pPr>
        <w:spacing w:after="156"/>
        <w:ind w:firstLine="0" w:firstLineChars="0"/>
        <w:jc w:val="center"/>
        <w:rPr>
          <w:b/>
          <w:bCs/>
          <w:sz w:val="21"/>
          <w:szCs w:val="20"/>
        </w:rPr>
      </w:pPr>
      <w:r>
        <w:rPr>
          <w:b/>
          <w:bCs/>
          <w:sz w:val="21"/>
          <w:szCs w:val="20"/>
        </w:rPr>
        <w:drawing>
          <wp:inline distT="0" distB="0" distL="0" distR="0">
            <wp:extent cx="5274310" cy="2989580"/>
            <wp:effectExtent l="0" t="0" r="2540" b="1270"/>
            <wp:docPr id="14592207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20728" name="图片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2989580"/>
                    </a:xfrm>
                    <a:prstGeom prst="rect">
                      <a:avLst/>
                    </a:prstGeom>
                    <a:noFill/>
                    <a:ln>
                      <a:noFill/>
                    </a:ln>
                  </pic:spPr>
                </pic:pic>
              </a:graphicData>
            </a:graphic>
          </wp:inline>
        </w:drawing>
      </w:r>
    </w:p>
    <w:p w14:paraId="0C1AD70E">
      <w:pPr>
        <w:spacing w:after="156"/>
        <w:ind w:firstLine="0" w:firstLineChars="0"/>
        <w:jc w:val="center"/>
        <w:rPr>
          <w:b/>
          <w:bCs/>
          <w:sz w:val="21"/>
          <w:szCs w:val="20"/>
        </w:rPr>
      </w:pPr>
      <w:r>
        <w:rPr>
          <w:rFonts w:hint="eastAsia"/>
          <w:b/>
          <w:bCs/>
          <w:sz w:val="21"/>
          <w:szCs w:val="20"/>
        </w:rPr>
        <w:t>图3-8 绘制</w:t>
      </w:r>
      <w:r>
        <w:rPr>
          <w:b/>
          <w:bCs/>
          <w:sz w:val="21"/>
          <w:szCs w:val="20"/>
        </w:rPr>
        <w:t>教育水平与订阅率的柱状图</w:t>
      </w:r>
    </w:p>
    <w:p w14:paraId="68B7C431">
      <w:pPr>
        <w:spacing w:after="156"/>
        <w:ind w:firstLine="0" w:firstLineChars="0"/>
        <w:jc w:val="center"/>
        <w:rPr>
          <w:b/>
          <w:bCs/>
          <w:sz w:val="21"/>
          <w:szCs w:val="20"/>
        </w:rPr>
      </w:pPr>
      <w:r>
        <w:rPr>
          <w:b/>
          <w:bCs/>
          <w:sz w:val="21"/>
          <w:szCs w:val="20"/>
        </w:rPr>
        <w:drawing>
          <wp:inline distT="0" distB="0" distL="0" distR="0">
            <wp:extent cx="5274310" cy="3296285"/>
            <wp:effectExtent l="0" t="0" r="2540" b="0"/>
            <wp:docPr id="4203868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86841" name="图片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74310" cy="3296285"/>
                    </a:xfrm>
                    <a:prstGeom prst="rect">
                      <a:avLst/>
                    </a:prstGeom>
                    <a:noFill/>
                    <a:ln>
                      <a:noFill/>
                    </a:ln>
                  </pic:spPr>
                </pic:pic>
              </a:graphicData>
            </a:graphic>
          </wp:inline>
        </w:drawing>
      </w:r>
    </w:p>
    <w:p w14:paraId="67084321">
      <w:pPr>
        <w:spacing w:after="156"/>
        <w:ind w:firstLine="0" w:firstLineChars="0"/>
        <w:jc w:val="center"/>
        <w:rPr>
          <w:b/>
          <w:bCs/>
          <w:sz w:val="21"/>
          <w:szCs w:val="20"/>
        </w:rPr>
      </w:pPr>
      <w:r>
        <w:rPr>
          <w:rFonts w:hint="eastAsia"/>
          <w:b/>
          <w:bCs/>
          <w:sz w:val="21"/>
          <w:szCs w:val="20"/>
        </w:rPr>
        <w:t xml:space="preserve">图3-9 </w:t>
      </w:r>
      <w:r>
        <w:rPr>
          <w:b/>
          <w:bCs/>
          <w:sz w:val="21"/>
          <w:szCs w:val="20"/>
        </w:rPr>
        <w:t>教育水平与订阅率柱状图</w:t>
      </w:r>
    </w:p>
    <w:p w14:paraId="6D75CE83">
      <w:pPr>
        <w:spacing w:after="156"/>
        <w:ind w:firstLine="480"/>
      </w:pPr>
      <w:r>
        <w:rPr>
          <w:rFonts w:hint="eastAsia"/>
        </w:rPr>
        <w:t>②分析结论：</w:t>
      </w:r>
    </w:p>
    <w:p w14:paraId="671C5F8C">
      <w:pPr>
        <w:spacing w:after="156"/>
        <w:ind w:firstLine="480"/>
      </w:pPr>
      <w:r>
        <w:rPr>
          <w:rFonts w:hint="eastAsia"/>
        </w:rPr>
        <w:t>高等教育（tertiary）：订阅率最高，达到 15.01%。</w:t>
      </w:r>
    </w:p>
    <w:p w14:paraId="468A6F27">
      <w:pPr>
        <w:spacing w:after="156"/>
        <w:ind w:firstLine="480"/>
      </w:pPr>
      <w:r>
        <w:rPr>
          <w:rFonts w:hint="eastAsia"/>
        </w:rPr>
        <w:t>初等教育（primary）：订阅率最低，仅为 8.63%。</w:t>
      </w:r>
    </w:p>
    <w:p w14:paraId="5583038E">
      <w:pPr>
        <w:spacing w:after="156"/>
        <w:ind w:firstLine="480"/>
      </w:pPr>
      <w:r>
        <w:rPr>
          <w:rFonts w:hint="eastAsia"/>
        </w:rPr>
        <w:t>结论表明，受教育程度与金融产品的接受度呈显著正相关。高学历客户通常对金融产品的运作机制、风险和收益有更深的理解，因此对银行的信任度和购买意愿也更高。针对低学历群体的营销，需要更侧重于通俗易懂的金融知识普及和收益的直观展示。</w:t>
      </w:r>
    </w:p>
    <w:p w14:paraId="64B3D105">
      <w:pPr>
        <w:pStyle w:val="3"/>
        <w:spacing w:before="249" w:after="156"/>
      </w:pPr>
      <w:bookmarkStart w:id="20" w:name="_Toc229391201"/>
      <w:r>
        <w:t>3.4 变量相关性分析：热力图</w:t>
      </w:r>
      <w:bookmarkEnd w:id="20"/>
    </w:p>
    <w:p w14:paraId="43CFD66A">
      <w:pPr>
        <w:spacing w:after="156"/>
        <w:ind w:firstLine="480"/>
      </w:pPr>
      <w:r>
        <w:rPr>
          <w:rFonts w:hint="eastAsia"/>
        </w:rPr>
        <w:t>为了弥补单变量分析的不足，我们使用热力图来探索多个关键数值变量之间的潜在相关关系。这种多变量联合分析是数据挖掘技术在银行客户行为研究中的典型应用</w:t>
      </w:r>
      <w:r>
        <w:rPr>
          <w:vertAlign w:val="superscript"/>
        </w:rPr>
        <w:fldChar w:fldCharType="begin"/>
      </w:r>
      <w:r>
        <w:rPr>
          <w:vertAlign w:val="superscript"/>
        </w:rPr>
        <w:instrText xml:space="preserve"> </w:instrText>
      </w:r>
      <w:r>
        <w:rPr>
          <w:rFonts w:hint="eastAsia"/>
          <w:vertAlign w:val="superscript"/>
        </w:rPr>
        <w:instrText xml:space="preserve">REF _Ref229352044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rFonts w:hint="eastAsia"/>
        </w:rPr>
        <w:t>。</w:t>
      </w:r>
    </w:p>
    <w:p w14:paraId="1ACC423B">
      <w:pPr>
        <w:spacing w:after="156"/>
        <w:ind w:firstLine="480"/>
      </w:pPr>
      <w:r>
        <w:rPr>
          <w:rFonts w:hint="eastAsia"/>
        </w:rPr>
        <w:t>1、R代码实现：</w:t>
      </w:r>
    </w:p>
    <w:p w14:paraId="2C69D108">
      <w:pPr>
        <w:spacing w:after="156"/>
        <w:ind w:firstLine="0" w:firstLineChars="0"/>
        <w:rPr>
          <w:i/>
          <w:iCs/>
          <w:shd w:val="pct15" w:color="auto" w:fill="FFFFFF"/>
        </w:rPr>
      </w:pPr>
      <w:r>
        <w:rPr>
          <w:i/>
          <w:iCs/>
          <w:shd w:val="pct15" w:color="auto" w:fill="FFFFFF"/>
        </w:rPr>
        <w:t># 选取用于分析的数值变量</w:t>
      </w:r>
    </w:p>
    <w:p w14:paraId="730A03A2">
      <w:pPr>
        <w:spacing w:after="156"/>
        <w:ind w:firstLine="0" w:firstLineChars="0"/>
        <w:rPr>
          <w:shd w:val="pct15" w:color="auto" w:fill="FFFFFF"/>
        </w:rPr>
      </w:pPr>
      <w:r>
        <w:rPr>
          <w:shd w:val="pct15" w:color="auto" w:fill="FFFFFF"/>
        </w:rPr>
        <w:t>cor_data &lt;- bank_data[, c("age", "balance", "duration", "campaign", "previous", "y_num")]</w:t>
      </w:r>
    </w:p>
    <w:p w14:paraId="623A4EEB">
      <w:pPr>
        <w:spacing w:after="156"/>
        <w:ind w:firstLine="0" w:firstLineChars="0"/>
        <w:rPr>
          <w:i/>
          <w:iCs/>
          <w:shd w:val="pct15" w:color="auto" w:fill="FFFFFF"/>
        </w:rPr>
      </w:pPr>
      <w:r>
        <w:rPr>
          <w:i/>
          <w:iCs/>
          <w:shd w:val="pct15" w:color="auto" w:fill="FFFFFF"/>
        </w:rPr>
        <w:t># 计算相关系数矩阵</w:t>
      </w:r>
    </w:p>
    <w:p w14:paraId="7BFE0DD2">
      <w:pPr>
        <w:spacing w:after="156"/>
        <w:ind w:firstLine="0" w:firstLineChars="0"/>
        <w:rPr>
          <w:shd w:val="pct15" w:color="auto" w:fill="FFFFFF"/>
        </w:rPr>
      </w:pPr>
      <w:r>
        <w:rPr>
          <w:shd w:val="pct15" w:color="auto" w:fill="FFFFFF"/>
        </w:rPr>
        <w:t>cor_matrix &lt;- cor(cor_data)</w:t>
      </w:r>
    </w:p>
    <w:p w14:paraId="5C6522CE">
      <w:pPr>
        <w:spacing w:after="156"/>
        <w:ind w:firstLine="0" w:firstLineChars="0"/>
        <w:rPr>
          <w:i/>
          <w:iCs/>
          <w:shd w:val="pct15" w:color="auto" w:fill="FFFFFF"/>
        </w:rPr>
      </w:pPr>
      <w:r>
        <w:rPr>
          <w:i/>
          <w:iCs/>
          <w:shd w:val="pct15" w:color="auto" w:fill="FFFFFF"/>
        </w:rPr>
        <w:t># 绘制热力图</w:t>
      </w:r>
    </w:p>
    <w:p w14:paraId="2EF519DF">
      <w:pPr>
        <w:spacing w:after="156"/>
        <w:ind w:firstLine="0" w:firstLineChars="0"/>
        <w:rPr>
          <w:shd w:val="pct15" w:color="auto" w:fill="FFFFFF"/>
        </w:rPr>
      </w:pPr>
      <w:r>
        <w:rPr>
          <w:shd w:val="pct15" w:color="auto" w:fill="FFFFFF"/>
        </w:rPr>
        <w:t xml:space="preserve">corrplot(cor_matrix, method = "color", type = "upper", order = "hclust", </w:t>
      </w:r>
    </w:p>
    <w:p w14:paraId="7A6C1F47">
      <w:pPr>
        <w:spacing w:after="156"/>
        <w:ind w:firstLine="0" w:firstLineChars="0"/>
        <w:rPr>
          <w:shd w:val="pct15" w:color="auto" w:fill="FFFFFF"/>
        </w:rPr>
      </w:pPr>
      <w:r>
        <w:rPr>
          <w:shd w:val="pct15" w:color="auto" w:fill="FFFFFF"/>
        </w:rPr>
        <w:t xml:space="preserve">         addCoef.col = "black", tl.col = "black", tl.srt = 45)</w:t>
      </w:r>
    </w:p>
    <w:p w14:paraId="15A5C181">
      <w:pPr>
        <w:spacing w:after="156"/>
        <w:ind w:firstLine="0" w:firstLineChars="0"/>
        <w:jc w:val="center"/>
        <w:rPr>
          <w:sz w:val="21"/>
          <w:szCs w:val="20"/>
        </w:rPr>
      </w:pPr>
      <w:r>
        <w:rPr>
          <w:sz w:val="21"/>
          <w:szCs w:val="20"/>
        </w:rPr>
        <w:drawing>
          <wp:inline distT="0" distB="0" distL="0" distR="0">
            <wp:extent cx="5274310" cy="1011555"/>
            <wp:effectExtent l="0" t="0" r="2540" b="0"/>
            <wp:docPr id="213159116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91168" name="图片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1011555"/>
                    </a:xfrm>
                    <a:prstGeom prst="rect">
                      <a:avLst/>
                    </a:prstGeom>
                    <a:noFill/>
                    <a:ln>
                      <a:noFill/>
                    </a:ln>
                  </pic:spPr>
                </pic:pic>
              </a:graphicData>
            </a:graphic>
          </wp:inline>
        </w:drawing>
      </w:r>
    </w:p>
    <w:p w14:paraId="0E8407D5">
      <w:pPr>
        <w:spacing w:after="156"/>
        <w:ind w:firstLine="0" w:firstLineChars="0"/>
        <w:jc w:val="center"/>
        <w:rPr>
          <w:b/>
          <w:bCs/>
          <w:sz w:val="21"/>
          <w:szCs w:val="20"/>
        </w:rPr>
      </w:pPr>
      <w:r>
        <w:rPr>
          <w:b/>
          <w:bCs/>
          <w:sz w:val="21"/>
          <w:szCs w:val="20"/>
        </w:rPr>
        <w:t>图</w:t>
      </w:r>
      <w:r>
        <w:rPr>
          <w:rFonts w:hint="eastAsia"/>
          <w:b/>
          <w:bCs/>
          <w:sz w:val="21"/>
          <w:szCs w:val="20"/>
        </w:rPr>
        <w:t>3-10 绘制热力图</w:t>
      </w:r>
    </w:p>
    <w:p w14:paraId="6FDAD342">
      <w:pPr>
        <w:spacing w:after="156"/>
        <w:ind w:firstLine="0" w:firstLineChars="0"/>
        <w:jc w:val="center"/>
        <w:rPr>
          <w:b/>
          <w:bCs/>
          <w:sz w:val="21"/>
          <w:szCs w:val="20"/>
        </w:rPr>
      </w:pPr>
      <w:r>
        <w:drawing>
          <wp:inline distT="0" distB="0" distL="0" distR="0">
            <wp:extent cx="4499610" cy="2537460"/>
            <wp:effectExtent l="0" t="0" r="0" b="0"/>
            <wp:docPr id="14494514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51414" name="图片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530151" cy="2554697"/>
                    </a:xfrm>
                    <a:prstGeom prst="rect">
                      <a:avLst/>
                    </a:prstGeom>
                    <a:noFill/>
                    <a:ln>
                      <a:noFill/>
                    </a:ln>
                  </pic:spPr>
                </pic:pic>
              </a:graphicData>
            </a:graphic>
          </wp:inline>
        </w:drawing>
      </w:r>
    </w:p>
    <w:p w14:paraId="73B83862">
      <w:pPr>
        <w:spacing w:after="156"/>
        <w:ind w:firstLine="0" w:firstLineChars="0"/>
        <w:jc w:val="center"/>
        <w:rPr>
          <w:b/>
          <w:bCs/>
          <w:sz w:val="21"/>
          <w:szCs w:val="20"/>
        </w:rPr>
      </w:pPr>
      <w:r>
        <w:rPr>
          <w:rFonts w:hint="eastAsia"/>
          <w:b/>
          <w:bCs/>
          <w:sz w:val="21"/>
          <w:szCs w:val="20"/>
        </w:rPr>
        <w:t xml:space="preserve">图3-11 </w:t>
      </w:r>
      <w:r>
        <w:rPr>
          <w:b/>
          <w:bCs/>
          <w:sz w:val="21"/>
          <w:szCs w:val="20"/>
        </w:rPr>
        <w:t>变量相关性热力图</w:t>
      </w:r>
    </w:p>
    <w:p w14:paraId="047C8F30">
      <w:pPr>
        <w:spacing w:after="156"/>
        <w:ind w:firstLine="480"/>
      </w:pPr>
      <w:r>
        <w:rPr>
          <w:rFonts w:hint="eastAsia"/>
        </w:rPr>
        <w:t>2、分析结论</w:t>
      </w:r>
    </w:p>
    <w:p w14:paraId="1E93EFE8">
      <w:pPr>
        <w:spacing w:after="156"/>
        <w:ind w:firstLine="480"/>
      </w:pPr>
      <w:r>
        <w:rPr>
          <w:rFonts w:hint="eastAsia"/>
        </w:rPr>
        <w:t>从热力图中可以观察到变量间清晰的相关关系：</w:t>
      </w:r>
    </w:p>
    <w:p w14:paraId="2C6764AF">
      <w:pPr>
        <w:spacing w:after="156"/>
        <w:ind w:firstLine="480"/>
      </w:pPr>
      <w:r>
        <w:rPr>
          <w:rFonts w:hint="eastAsia"/>
        </w:rPr>
        <w:t>（1）关键正向驱动因素：duration（通话时长）与y_num（订阅结果）的相关系数为0.39，呈现数据中最显著的正相关性。</w:t>
      </w:r>
    </w:p>
    <w:p w14:paraId="1108975E">
      <w:pPr>
        <w:spacing w:after="156"/>
        <w:ind w:firstLine="480"/>
      </w:pPr>
      <w:r>
        <w:rPr>
          <w:rFonts w:hint="eastAsia"/>
        </w:rPr>
        <w:t>原因解释：通话时长越长，意味着客户愿意投入更多时间了解产品、提问和互动，这本身就是一种“高购买意愿”的信号。能够吸引客户长时间停留在电话中，说明外呼人员的沟通内容抓住了客户的兴趣点。</w:t>
      </w:r>
    </w:p>
    <w:p w14:paraId="11A3A78D">
      <w:pPr>
        <w:spacing w:after="156"/>
        <w:ind w:firstLine="480"/>
      </w:pPr>
      <w:r>
        <w:rPr>
          <w:rFonts w:hint="eastAsia"/>
        </w:rPr>
        <w:t>（2）认识“无效”因素：campaign（营销次数）与y_num（订阅结果）的相关系数仅为-0.03，接近零相关。</w:t>
      </w:r>
    </w:p>
    <w:p w14:paraId="3FF5103C">
      <w:pPr>
        <w:spacing w:after="156"/>
        <w:ind w:firstLine="480"/>
      </w:pPr>
      <w:r>
        <w:rPr>
          <w:rFonts w:hint="eastAsia"/>
        </w:rPr>
        <w:t>原因解释：这从统计上证实，单纯增加外呼次数完全不是提升转化率的有效手段。客户是否购买更多取决于“是否在首次或第二次接触时被打动”，而非“被打扰的次数”。这一发现再次验证了瀑布图中揭示的“边际效益递减”问题。</w:t>
      </w:r>
    </w:p>
    <w:p w14:paraId="377CAAA2">
      <w:pPr>
        <w:spacing w:after="156"/>
        <w:ind w:firstLine="480"/>
      </w:pPr>
      <w:r>
        <w:rPr>
          <w:rFonts w:hint="eastAsia"/>
        </w:rPr>
        <w:t>（3）一个观察：duration与campaign之间存在微弱的负相关（-0.08）。</w:t>
      </w:r>
    </w:p>
    <w:p w14:paraId="5736946A">
      <w:pPr>
        <w:spacing w:after="156"/>
        <w:ind w:firstLine="480"/>
      </w:pPr>
      <w:r>
        <w:rPr>
          <w:rFonts w:hint="eastAsia"/>
        </w:rPr>
        <w:t>原因解释：这暗示那些需要被反复联系的客户，其在电话中的有效沟通时长可能更短。可能是因为这类客户本身购买意愿较低，每次通话都快速结束；也可能是外呼人员未能有效激发其兴趣。这为进一步优化客户筛选和话术培训提供了方向。</w:t>
      </w:r>
      <w:r>
        <w:br w:type="page"/>
      </w:r>
    </w:p>
    <w:p w14:paraId="04F45FA9">
      <w:pPr>
        <w:pStyle w:val="2"/>
        <w:spacing w:before="249" w:after="156"/>
      </w:pPr>
      <w:bookmarkStart w:id="21" w:name="_Toc229391202"/>
      <w:r>
        <w:t>4  管理建议与结论</w:t>
      </w:r>
      <w:bookmarkEnd w:id="21"/>
    </w:p>
    <w:p w14:paraId="2E0682C1">
      <w:pPr>
        <w:pStyle w:val="3"/>
        <w:spacing w:before="249" w:after="156"/>
      </w:pPr>
      <w:bookmarkStart w:id="22" w:name="_Toc229391203"/>
      <w:r>
        <w:t>4.1 结论总结</w:t>
      </w:r>
      <w:bookmarkEnd w:id="22"/>
    </w:p>
    <w:p w14:paraId="22D11F94">
      <w:pPr>
        <w:spacing w:after="156"/>
        <w:ind w:firstLine="480"/>
      </w:pPr>
      <w:r>
        <w:rPr>
          <w:rFonts w:hint="eastAsia"/>
        </w:rPr>
        <w:t>本研究通过对45,211条银行营销数据的多维度探索性分析，得出以下核心结论：</w:t>
      </w:r>
    </w:p>
    <w:p w14:paraId="4BB527C3">
      <w:pPr>
        <w:spacing w:after="156"/>
        <w:ind w:firstLine="480"/>
      </w:pPr>
      <w:r>
        <w:rPr>
          <w:rFonts w:hint="eastAsia"/>
        </w:rPr>
        <w:t>1、结论1：马太效应显著——管理岗（management）、技术岗（technician）等职业贡献了近一半的订阅业绩，是营销的重点目标群体。</w:t>
      </w:r>
    </w:p>
    <w:p w14:paraId="7FC34A1D">
      <w:pPr>
        <w:spacing w:after="156"/>
        <w:ind w:firstLine="480"/>
      </w:pPr>
      <w:r>
        <w:rPr>
          <w:rFonts w:hint="eastAsia"/>
        </w:rPr>
        <w:t>管理启示：营销资源应向头部职业倾斜，为高价值职业客群配置专属理财经理，避免平均用力导致的资源浪费。</w:t>
      </w:r>
    </w:p>
    <w:p w14:paraId="37241A58">
      <w:pPr>
        <w:spacing w:after="156"/>
        <w:ind w:firstLine="480"/>
      </w:pPr>
      <w:r>
        <w:rPr>
          <w:rFonts w:hint="eastAsia"/>
        </w:rPr>
        <w:t>2、结论2：边际效益递减——首次营销接触的转化效率最高，从第3次接触开始，单次接触带来的新增转化量急剧下降，高频呼叫属于典型的资源浪费。</w:t>
      </w:r>
    </w:p>
    <w:p w14:paraId="7F1361A8">
      <w:pPr>
        <w:spacing w:after="156"/>
        <w:ind w:firstLine="480"/>
      </w:pPr>
      <w:r>
        <w:rPr>
          <w:rFonts w:hint="eastAsia"/>
        </w:rPr>
        <w:t>管理启示：应建立“3次接触”的预警阈值，对超过该阈值的客户暂停高成本的外呼，转为低成本的非侵入式触达。</w:t>
      </w:r>
    </w:p>
    <w:p w14:paraId="166DB1DC">
      <w:pPr>
        <w:spacing w:after="156"/>
        <w:ind w:firstLine="480"/>
      </w:pPr>
      <w:r>
        <w:rPr>
          <w:rFonts w:hint="eastAsia"/>
        </w:rPr>
        <w:t>3、结论3：银发与高知是主力——65岁以上群体的订阅率高达42.6%，远超其他年龄段；高等教育（tertiary）客户的订阅率为15.01%，显著高于初等教育（primary）客户的8.63%。</w:t>
      </w:r>
    </w:p>
    <w:p w14:paraId="094D0451">
      <w:pPr>
        <w:spacing w:after="156"/>
        <w:ind w:firstLine="480"/>
      </w:pPr>
      <w:r>
        <w:rPr>
          <w:rFonts w:hint="eastAsia"/>
        </w:rPr>
        <w:t>管理启示：“银发经济”是银行不可忽视的蓝海市场，应设计专属的稳健型产品；同时，针对高学历客户可推送更复杂的财富管理产品，而对低学历客户则需加强金融知识普及。</w:t>
      </w:r>
    </w:p>
    <w:p w14:paraId="467CA793">
      <w:pPr>
        <w:spacing w:after="156"/>
        <w:ind w:firstLine="480"/>
      </w:pPr>
      <w:r>
        <w:rPr>
          <w:rFonts w:hint="eastAsia"/>
        </w:rPr>
        <w:t>4、结论4：通话质量重于数量——单次通话时长（duration）与订阅结果的相关系数为0.39，是数据中最显著的正向预测指标，而营销次数（campaign）与订阅结果的相关系数仅为-0.03，接近零相关。</w:t>
      </w:r>
    </w:p>
    <w:p w14:paraId="1900245A">
      <w:pPr>
        <w:spacing w:after="156"/>
        <w:ind w:firstLine="480"/>
      </w:pPr>
      <w:r>
        <w:rPr>
          <w:rFonts w:hint="eastAsia"/>
        </w:rPr>
        <w:t>管理启示：与其单纯增加外呼频次，不如通过话术培训提升单次通话质量，延长有效沟通时间。</w:t>
      </w:r>
    </w:p>
    <w:p w14:paraId="357F61B2">
      <w:pPr>
        <w:pStyle w:val="3"/>
        <w:spacing w:before="249" w:after="156"/>
      </w:pPr>
      <w:bookmarkStart w:id="23" w:name="_Toc229391204"/>
      <w:r>
        <w:t>4.2 营销策略建议</w:t>
      </w:r>
      <w:bookmarkEnd w:id="23"/>
    </w:p>
    <w:p w14:paraId="76F9AAF8">
      <w:pPr>
        <w:spacing w:after="156"/>
        <w:ind w:firstLine="480"/>
      </w:pPr>
      <w:r>
        <w:rPr>
          <w:rFonts w:hint="eastAsia"/>
        </w:rPr>
        <w:t>基于上述发现，结合大数据背景下的精准营销理论</w:t>
      </w:r>
      <w:r>
        <w:rPr>
          <w:vertAlign w:val="superscript"/>
        </w:rPr>
        <w:fldChar w:fldCharType="begin"/>
      </w:r>
      <w:r>
        <w:rPr>
          <w:vertAlign w:val="superscript"/>
        </w:rPr>
        <w:instrText xml:space="preserve"> </w:instrText>
      </w:r>
      <w:r>
        <w:rPr>
          <w:rFonts w:hint="eastAsia"/>
          <w:vertAlign w:val="superscript"/>
        </w:rPr>
        <w:instrText xml:space="preserve">REF _Ref229352044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rFonts w:hint="eastAsia"/>
        </w:rPr>
        <w:t>，提出以下三条具体策略建议：</w:t>
      </w:r>
    </w:p>
    <w:p w14:paraId="61FAE8EF">
      <w:pPr>
        <w:pStyle w:val="4"/>
        <w:spacing w:after="156"/>
        <w:ind w:firstLine="482"/>
      </w:pPr>
      <w:bookmarkStart w:id="24" w:name="_Toc229391205"/>
      <w:r>
        <w:rPr>
          <w:rFonts w:hint="eastAsia"/>
        </w:rPr>
        <w:t>4.2.1 实施分层营销，聚焦高价值客群</w:t>
      </w:r>
      <w:bookmarkEnd w:id="24"/>
    </w:p>
    <w:p w14:paraId="71C6FF40">
      <w:pPr>
        <w:spacing w:after="156"/>
        <w:ind w:firstLine="480"/>
      </w:pPr>
      <w:r>
        <w:rPr>
          <w:rFonts w:hint="eastAsia"/>
        </w:rPr>
        <w:t>（1）战术动作：利用`job`和`education`变量，将客户划分为“高价值（管理/技术/高学历）”、“潜力型（银发/退休）”、“普通型”等层级。</w:t>
      </w:r>
    </w:p>
    <w:p w14:paraId="493C1422">
      <w:pPr>
        <w:spacing w:after="156"/>
        <w:ind w:firstLine="480"/>
      </w:pPr>
      <w:r>
        <w:rPr>
          <w:rFonts w:hint="eastAsia"/>
        </w:rPr>
        <w:t>（2）策略目标：为高价值客群配置专属理财经理，推送大额存单或定制化理财产品，实施“一对一”精准营销；对银发客群，则主推稳健型、操作简单的定期存款产品，并辅以电话外呼服务指导，提升其信任感和安全感；对普通型客群，采用批量化的短信或APP推送，控制营销成本。</w:t>
      </w:r>
    </w:p>
    <w:p w14:paraId="5FBFDB21">
      <w:pPr>
        <w:pStyle w:val="4"/>
        <w:spacing w:after="156"/>
        <w:ind w:firstLine="482"/>
      </w:pPr>
      <w:bookmarkStart w:id="25" w:name="_Toc229391206"/>
      <w:r>
        <w:rPr>
          <w:rFonts w:hint="eastAsia"/>
        </w:rPr>
        <w:t>4.2.2 控制营销频次，建立骚扰预警机制</w:t>
      </w:r>
      <w:bookmarkEnd w:id="25"/>
    </w:p>
    <w:p w14:paraId="4DE8F3BC">
      <w:pPr>
        <w:spacing w:after="156"/>
        <w:ind w:firstLine="480"/>
      </w:pPr>
      <w:r>
        <w:rPr>
          <w:rFonts w:hint="eastAsia"/>
        </w:rPr>
        <w:t>（1）战术动作：将R语言分析得出的“流失临界点（接触≥3次）”嵌入电话营销系统，作为系统级硬性约束。</w:t>
      </w:r>
    </w:p>
    <w:p w14:paraId="07896298">
      <w:pPr>
        <w:spacing w:after="156"/>
        <w:ind w:firstLine="480"/>
      </w:pPr>
      <w:r>
        <w:rPr>
          <w:rFonts w:hint="eastAsia"/>
        </w:rPr>
        <w:t>（2）策略目标：当客户经理准备进行第4次外呼时，系统自动弹出“转化率极低预警”，并强制建议转为“短信关怀”或“APP推送提醒”。此举可有效降低人力成本，减少因过度骚扰导致的客户投诉，保护银行品牌声誉。</w:t>
      </w:r>
    </w:p>
    <w:p w14:paraId="3005D1DB">
      <w:pPr>
        <w:pStyle w:val="4"/>
        <w:spacing w:after="156"/>
        <w:ind w:firstLine="482"/>
      </w:pPr>
      <w:bookmarkStart w:id="26" w:name="_Toc229391207"/>
      <w:r>
        <w:rPr>
          <w:rFonts w:hint="eastAsia"/>
        </w:rPr>
        <w:t>4.2.3 强化话术培训，提升单次通话质量</w:t>
      </w:r>
      <w:bookmarkEnd w:id="26"/>
    </w:p>
    <w:p w14:paraId="30411ABF">
      <w:pPr>
        <w:spacing w:after="156"/>
        <w:ind w:firstLine="480"/>
      </w:pPr>
      <w:r>
        <w:rPr>
          <w:rFonts w:hint="eastAsia"/>
        </w:rPr>
        <w:t>（1）战术动作：管理层应重视对`duration`（通话时长）这一强相关指标的常态化监控与分析。</w:t>
      </w:r>
    </w:p>
    <w:p w14:paraId="4390C1FF">
      <w:pPr>
        <w:spacing w:after="156"/>
        <w:ind w:firstLine="480"/>
      </w:pPr>
      <w:r>
        <w:rPr>
          <w:rFonts w:hint="eastAsia"/>
        </w:rPr>
        <w:t>（2）策略目标：定期复盘成功转化（`y == "yes"`）的通话录音，提取高频话术和异议处理技巧，形成标准化培训材料。培训一线外呼人员如何在最短时间内建立信任、挖掘客户真实需求、清晰介绍产品卖点，从“单纯增加通话次数”转向“提升单次通话价值”。</w:t>
      </w:r>
      <w:r>
        <w:br w:type="page"/>
      </w:r>
    </w:p>
    <w:p w14:paraId="7352CBE6">
      <w:pPr>
        <w:pStyle w:val="2"/>
        <w:spacing w:before="249" w:after="156"/>
      </w:pPr>
      <w:bookmarkStart w:id="27" w:name="_Toc229391208"/>
      <w:r>
        <w:t>参考文献</w:t>
      </w:r>
      <w:bookmarkEnd w:id="27"/>
    </w:p>
    <w:p w14:paraId="32F3744B">
      <w:pPr>
        <w:pStyle w:val="35"/>
        <w:numPr>
          <w:ilvl w:val="0"/>
          <w:numId w:val="1"/>
        </w:numPr>
        <w:spacing w:after="156"/>
        <w:ind w:left="482" w:firstLine="0" w:firstLineChars="0"/>
      </w:pPr>
      <w:bookmarkStart w:id="28" w:name="_Ref229352044"/>
      <w:r>
        <w:t>李婧. 商业银行数字化精准营销策略研究[J]. 商场现代化, 2024(24): 106-108.</w:t>
      </w:r>
      <w:bookmarkEnd w:id="28"/>
    </w:p>
    <w:p w14:paraId="7041F394">
      <w:pPr>
        <w:pStyle w:val="35"/>
        <w:numPr>
          <w:ilvl w:val="0"/>
          <w:numId w:val="1"/>
        </w:numPr>
        <w:spacing w:after="156"/>
        <w:ind w:firstLineChars="0"/>
      </w:pPr>
      <w:bookmarkStart w:id="29" w:name="_Ref229352065"/>
      <w:r>
        <w:t>UCI Machine Learning Repository. Bank Marketing Data Set [DB/OL]. (2012-06-13).</w:t>
      </w:r>
      <w:bookmarkEnd w:id="29"/>
    </w:p>
    <w:p w14:paraId="14B4D7E2">
      <w:pPr>
        <w:pStyle w:val="35"/>
        <w:numPr>
          <w:ilvl w:val="0"/>
          <w:numId w:val="1"/>
        </w:numPr>
        <w:spacing w:after="156"/>
        <w:ind w:left="482" w:firstLine="0" w:firstLineChars="0"/>
      </w:pPr>
      <w:bookmarkStart w:id="30" w:name="_Ref229352107"/>
      <w:r>
        <w:t>陆雪. 基于数据挖掘的G银行代发工资客群精准营销策略研究[D]. 贵州大学, 2025.</w:t>
      </w:r>
      <w:bookmarkEnd w:id="30"/>
    </w:p>
    <w:p w14:paraId="0B97ACB9">
      <w:pPr>
        <w:pStyle w:val="35"/>
        <w:numPr>
          <w:ilvl w:val="0"/>
          <w:numId w:val="1"/>
        </w:numPr>
        <w:spacing w:after="156"/>
        <w:ind w:left="482" w:firstLine="0" w:firstLineChars="0"/>
      </w:pPr>
      <w:bookmarkStart w:id="31" w:name="_Ref229352124"/>
      <w:r>
        <w:t>刘婷. 基于机器学习的商业银行个人客户细分[D]. 江西财经大学, 2023.</w:t>
      </w:r>
      <w:bookmarkEnd w:id="31"/>
    </w:p>
    <w:p w14:paraId="5DAF84D5">
      <w:pPr>
        <w:pStyle w:val="35"/>
        <w:numPr>
          <w:ilvl w:val="0"/>
          <w:numId w:val="1"/>
        </w:numPr>
        <w:spacing w:after="156"/>
        <w:ind w:firstLineChars="0"/>
      </w:pPr>
      <w:bookmarkStart w:id="32" w:name="_Ref229352148"/>
      <w:r>
        <w:t>高尚. 构建商业银行客户行为分析体系[J]. 中国金融, 2023(11): 67-68.</w:t>
      </w:r>
      <w:bookmarkEnd w:id="32"/>
    </w:p>
    <w:p w14:paraId="5CEBEEE8">
      <w:pPr>
        <w:pStyle w:val="35"/>
        <w:numPr>
          <w:ilvl w:val="0"/>
          <w:numId w:val="1"/>
        </w:numPr>
        <w:spacing w:after="156"/>
        <w:ind w:left="482" w:firstLine="0" w:firstLineChars="0"/>
      </w:pPr>
      <w:bookmarkStart w:id="33" w:name="_Ref229352170"/>
      <w:r>
        <w:t>陈冉. N银行对公客户细分与精准营销研究[D]. 东南大学, 2021.</w:t>
      </w:r>
      <w:bookmarkEnd w:id="33"/>
    </w:p>
    <w:p w14:paraId="75CBF3C7">
      <w:pPr>
        <w:spacing w:after="156"/>
        <w:ind w:left="482" w:firstLine="0" w:firstLineChars="0"/>
      </w:pPr>
    </w:p>
    <w:sectPr>
      <w:footerReference r:id="rId12"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EFDE7">
    <w:pPr>
      <w:pStyle w:val="12"/>
      <w:spacing w:after="120"/>
      <w:ind w:firstLine="360"/>
    </w:pPr>
  </w:p>
  <w:p w14:paraId="20EB8624">
    <w:pPr>
      <w:pStyle w:val="12"/>
      <w:spacing w:after="120"/>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832DF">
    <w:pPr>
      <w:pStyle w:val="12"/>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C3E73">
    <w:pPr>
      <w:pStyle w:val="12"/>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0194498"/>
      <w:docPartObj>
        <w:docPartGallery w:val="autotext"/>
      </w:docPartObj>
    </w:sdtPr>
    <w:sdtContent>
      <w:p w14:paraId="26F26651">
        <w:pPr>
          <w:pStyle w:val="12"/>
          <w:spacing w:after="120"/>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00D8E9CC">
    <w:pPr>
      <w:pStyle w:val="12"/>
      <w:spacing w:after="120"/>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5446057"/>
      <w:docPartObj>
        <w:docPartGallery w:val="autotext"/>
      </w:docPartObj>
    </w:sdtPr>
    <w:sdtContent>
      <w:p w14:paraId="11FE41B6">
        <w:pPr>
          <w:pStyle w:val="12"/>
          <w:spacing w:before="192" w:after="120"/>
          <w:ind w:firstLine="0" w:firstLineChars="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547370D4">
    <w:pPr>
      <w:pStyle w:val="12"/>
      <w:spacing w:after="120"/>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6E27E">
    <w:pPr>
      <w:pStyle w:val="13"/>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88821">
    <w:pPr>
      <w:pStyle w:val="13"/>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F960B">
    <w:pPr>
      <w:pStyle w:val="13"/>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D559C5"/>
    <w:multiLevelType w:val="multilevel"/>
    <w:tmpl w:val="5AD559C5"/>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8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DF7"/>
    <w:rsid w:val="000173FF"/>
    <w:rsid w:val="0003417C"/>
    <w:rsid w:val="00045F09"/>
    <w:rsid w:val="000A4000"/>
    <w:rsid w:val="00110E5A"/>
    <w:rsid w:val="00117089"/>
    <w:rsid w:val="0012239B"/>
    <w:rsid w:val="00147BA1"/>
    <w:rsid w:val="00193819"/>
    <w:rsid w:val="001B3DDD"/>
    <w:rsid w:val="001C7927"/>
    <w:rsid w:val="00255371"/>
    <w:rsid w:val="0026078D"/>
    <w:rsid w:val="0027666E"/>
    <w:rsid w:val="002951BE"/>
    <w:rsid w:val="002C04EB"/>
    <w:rsid w:val="002E45CF"/>
    <w:rsid w:val="002E79F0"/>
    <w:rsid w:val="0032000D"/>
    <w:rsid w:val="00325627"/>
    <w:rsid w:val="003268EA"/>
    <w:rsid w:val="003465D5"/>
    <w:rsid w:val="003946DC"/>
    <w:rsid w:val="003953D4"/>
    <w:rsid w:val="003B45CF"/>
    <w:rsid w:val="003B7D3D"/>
    <w:rsid w:val="003C0968"/>
    <w:rsid w:val="003C6307"/>
    <w:rsid w:val="003D2DF7"/>
    <w:rsid w:val="00437576"/>
    <w:rsid w:val="004446F4"/>
    <w:rsid w:val="0046040E"/>
    <w:rsid w:val="00460749"/>
    <w:rsid w:val="0046272B"/>
    <w:rsid w:val="00472342"/>
    <w:rsid w:val="0048114D"/>
    <w:rsid w:val="004A6EF1"/>
    <w:rsid w:val="004C027F"/>
    <w:rsid w:val="00515BCA"/>
    <w:rsid w:val="005B23D6"/>
    <w:rsid w:val="005D0258"/>
    <w:rsid w:val="005D68B9"/>
    <w:rsid w:val="00665470"/>
    <w:rsid w:val="006B5683"/>
    <w:rsid w:val="006E6D3F"/>
    <w:rsid w:val="00701F82"/>
    <w:rsid w:val="007140B2"/>
    <w:rsid w:val="00743D5B"/>
    <w:rsid w:val="007D3AE0"/>
    <w:rsid w:val="007F2BCA"/>
    <w:rsid w:val="00805283"/>
    <w:rsid w:val="00810E34"/>
    <w:rsid w:val="00820F8C"/>
    <w:rsid w:val="008E4413"/>
    <w:rsid w:val="008E607D"/>
    <w:rsid w:val="00916AC6"/>
    <w:rsid w:val="00925D9F"/>
    <w:rsid w:val="00930B94"/>
    <w:rsid w:val="009463D2"/>
    <w:rsid w:val="009C5F02"/>
    <w:rsid w:val="00A26431"/>
    <w:rsid w:val="00AB4CCA"/>
    <w:rsid w:val="00AC128E"/>
    <w:rsid w:val="00B3431C"/>
    <w:rsid w:val="00B55BE4"/>
    <w:rsid w:val="00B74C89"/>
    <w:rsid w:val="00B779A2"/>
    <w:rsid w:val="00B84C45"/>
    <w:rsid w:val="00C02B58"/>
    <w:rsid w:val="00C43ECB"/>
    <w:rsid w:val="00C74060"/>
    <w:rsid w:val="00CB4019"/>
    <w:rsid w:val="00D14ADF"/>
    <w:rsid w:val="00D64FEA"/>
    <w:rsid w:val="00D67EB6"/>
    <w:rsid w:val="00DD0E10"/>
    <w:rsid w:val="00E5235A"/>
    <w:rsid w:val="00E856EE"/>
    <w:rsid w:val="00E878B1"/>
    <w:rsid w:val="00EE5CE9"/>
    <w:rsid w:val="00F07593"/>
    <w:rsid w:val="00F420D9"/>
    <w:rsid w:val="00F450F4"/>
    <w:rsid w:val="00F635C4"/>
    <w:rsid w:val="00FB3DEF"/>
    <w:rsid w:val="00FE455E"/>
    <w:rsid w:val="15DC25AC"/>
    <w:rsid w:val="181811A2"/>
    <w:rsid w:val="58C774ED"/>
    <w:rsid w:val="6C9B5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after="50" w:afterLines="50" w:line="360" w:lineRule="auto"/>
      <w:ind w:firstLine="200" w:firstLineChars="200"/>
      <w:jc w:val="both"/>
    </w:pPr>
    <w:rPr>
      <w:rFonts w:ascii="Times New Roman" w:hAnsi="Times New Roman" w:eastAsia="宋体" w:cstheme="minorBidi"/>
      <w:kern w:val="2"/>
      <w:sz w:val="24"/>
      <w:szCs w:val="22"/>
      <w:lang w:val="en-US" w:eastAsia="zh-CN" w:bidi="ar-SA"/>
      <w14:ligatures w14:val="none"/>
    </w:rPr>
  </w:style>
  <w:style w:type="paragraph" w:styleId="2">
    <w:name w:val="heading 1"/>
    <w:basedOn w:val="1"/>
    <w:next w:val="1"/>
    <w:link w:val="23"/>
    <w:autoRedefine/>
    <w:qFormat/>
    <w:uiPriority w:val="9"/>
    <w:pPr>
      <w:keepNext/>
      <w:keepLines/>
      <w:spacing w:before="80" w:beforeLines="80"/>
      <w:ind w:firstLine="0" w:firstLineChars="0"/>
      <w:jc w:val="center"/>
      <w:outlineLvl w:val="0"/>
    </w:pPr>
    <w:rPr>
      <w:rFonts w:eastAsia="黑体" w:cstheme="majorBidi"/>
      <w:b/>
      <w:color w:val="000000" w:themeColor="text1"/>
      <w:sz w:val="36"/>
      <w:szCs w:val="48"/>
      <w14:textFill>
        <w14:solidFill>
          <w14:schemeClr w14:val="tx1"/>
        </w14:solidFill>
      </w14:textFill>
    </w:rPr>
  </w:style>
  <w:style w:type="paragraph" w:styleId="3">
    <w:name w:val="heading 2"/>
    <w:basedOn w:val="1"/>
    <w:next w:val="1"/>
    <w:link w:val="25"/>
    <w:unhideWhenUsed/>
    <w:qFormat/>
    <w:uiPriority w:val="9"/>
    <w:pPr>
      <w:keepNext/>
      <w:keepLines/>
      <w:spacing w:before="80" w:beforeLines="80"/>
      <w:ind w:firstLine="0" w:firstLineChars="0"/>
      <w:outlineLvl w:val="1"/>
    </w:pPr>
    <w:rPr>
      <w:rFonts w:eastAsia="黑体" w:cstheme="majorBidi"/>
      <w:b/>
      <w:color w:val="000000" w:themeColor="text1"/>
      <w:sz w:val="28"/>
      <w:szCs w:val="40"/>
      <w14:textFill>
        <w14:solidFill>
          <w14:schemeClr w14:val="tx1"/>
        </w14:solidFill>
      </w14:textFill>
    </w:rPr>
  </w:style>
  <w:style w:type="paragraph" w:styleId="4">
    <w:name w:val="heading 3"/>
    <w:basedOn w:val="1"/>
    <w:next w:val="1"/>
    <w:link w:val="24"/>
    <w:autoRedefine/>
    <w:unhideWhenUsed/>
    <w:qFormat/>
    <w:uiPriority w:val="9"/>
    <w:pPr>
      <w:keepNext/>
      <w:keepLines/>
      <w:outlineLvl w:val="2"/>
    </w:pPr>
    <w:rPr>
      <w:rFonts w:cstheme="majorBidi"/>
      <w:b/>
      <w:color w:val="000000" w:themeColor="text1"/>
      <w:szCs w:val="32"/>
      <w14:textFill>
        <w14:solidFill>
          <w14:schemeClr w14:val="tx1"/>
        </w14:solidFill>
      </w14:textFill>
    </w:rPr>
  </w:style>
  <w:style w:type="paragraph" w:styleId="5">
    <w:name w:val="heading 4"/>
    <w:basedOn w:val="1"/>
    <w:next w:val="1"/>
    <w:link w:val="26"/>
    <w:semiHidden/>
    <w:unhideWhenUsed/>
    <w:qFormat/>
    <w:uiPriority w:val="9"/>
    <w:pPr>
      <w:keepNext/>
      <w:keepLines/>
      <w:spacing w:before="80" w:after="40"/>
      <w:outlineLvl w:val="3"/>
    </w:pPr>
    <w:rPr>
      <w:rFonts w:asciiTheme="minorHAnsi" w:hAnsiTheme="minorHAnsi" w:eastAsiaTheme="minorEastAsia" w:cstheme="majorBidi"/>
      <w:color w:val="2F5597"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asciiTheme="minorHAnsi" w:hAnsiTheme="minorHAnsi" w:eastAsiaTheme="minorEastAsia" w:cstheme="majorBidi"/>
      <w:color w:val="2F5597" w:themeColor="accent1" w:themeShade="BF"/>
      <w:szCs w:val="24"/>
    </w:rPr>
  </w:style>
  <w:style w:type="paragraph" w:styleId="7">
    <w:name w:val="heading 6"/>
    <w:basedOn w:val="1"/>
    <w:next w:val="1"/>
    <w:link w:val="28"/>
    <w:semiHidden/>
    <w:unhideWhenUsed/>
    <w:qFormat/>
    <w:uiPriority w:val="9"/>
    <w:pPr>
      <w:keepNext/>
      <w:keepLines/>
      <w:spacing w:before="40"/>
      <w:outlineLvl w:val="5"/>
    </w:pPr>
    <w:rPr>
      <w:rFonts w:asciiTheme="minorHAnsi" w:hAnsiTheme="minorHAnsi" w:eastAsiaTheme="minorEastAsia" w:cstheme="majorBidi"/>
      <w:b/>
      <w:bCs/>
      <w:color w:val="2F5597" w:themeColor="accent1" w:themeShade="BF"/>
    </w:rPr>
  </w:style>
  <w:style w:type="paragraph" w:styleId="8">
    <w:name w:val="heading 7"/>
    <w:basedOn w:val="1"/>
    <w:next w:val="1"/>
    <w:link w:val="29"/>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ind w:left="400" w:leftChars="400" w:firstLine="0" w:firstLineChars="0"/>
    </w:pPr>
  </w:style>
  <w:style w:type="paragraph" w:styleId="12">
    <w:name w:val="footer"/>
    <w:basedOn w:val="1"/>
    <w:link w:val="41"/>
    <w:unhideWhenUsed/>
    <w:qFormat/>
    <w:uiPriority w:val="99"/>
    <w:pPr>
      <w:tabs>
        <w:tab w:val="center" w:pos="4153"/>
        <w:tab w:val="right" w:pos="8306"/>
      </w:tabs>
      <w:spacing w:line="240" w:lineRule="auto"/>
    </w:pPr>
    <w:rPr>
      <w:sz w:val="18"/>
      <w:szCs w:val="18"/>
    </w:rPr>
  </w:style>
  <w:style w:type="paragraph" w:styleId="13">
    <w:name w:val="header"/>
    <w:basedOn w:val="1"/>
    <w:link w:val="40"/>
    <w:unhideWhenUsed/>
    <w:qFormat/>
    <w:uiPriority w:val="99"/>
    <w:pPr>
      <w:tabs>
        <w:tab w:val="center" w:pos="4153"/>
        <w:tab w:val="right" w:pos="8306"/>
      </w:tabs>
      <w:spacing w:line="240" w:lineRule="auto"/>
      <w:jc w:val="center"/>
    </w:pPr>
    <w:rPr>
      <w:sz w:val="18"/>
      <w:szCs w:val="18"/>
    </w:rPr>
  </w:style>
  <w:style w:type="paragraph" w:styleId="14">
    <w:name w:val="toc 1"/>
    <w:basedOn w:val="1"/>
    <w:next w:val="1"/>
    <w:autoRedefine/>
    <w:unhideWhenUsed/>
    <w:qFormat/>
    <w:uiPriority w:val="39"/>
    <w:pPr>
      <w:ind w:firstLine="0" w:firstLineChars="0"/>
    </w:pPr>
    <w:rPr>
      <w:b/>
    </w:rPr>
  </w:style>
  <w:style w:type="paragraph" w:styleId="15">
    <w:name w:val="Subtitle"/>
    <w:basedOn w:val="1"/>
    <w:next w:val="1"/>
    <w:link w:val="32"/>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ind w:left="200" w:leftChars="200" w:firstLine="0" w:firstLineChars="0"/>
    </w:pPr>
  </w:style>
  <w:style w:type="paragraph" w:styleId="17">
    <w:name w:val="Title"/>
    <w:basedOn w:val="1"/>
    <w:next w:val="1"/>
    <w:link w:val="22"/>
    <w:autoRedefine/>
    <w:qFormat/>
    <w:uiPriority w:val="10"/>
    <w:pPr>
      <w:spacing w:before="80" w:beforeLines="80"/>
      <w:ind w:firstLine="0" w:firstLineChars="0"/>
      <w:contextualSpacing/>
    </w:pPr>
    <w:rPr>
      <w:rFonts w:eastAsia="黑体" w:cstheme="majorBidi"/>
      <w:b/>
      <w:spacing w:val="-10"/>
      <w:kern w:val="28"/>
      <w:szCs w:val="56"/>
    </w:rPr>
  </w:style>
  <w:style w:type="table" w:styleId="19">
    <w:name w:val="Table Grid"/>
    <w:basedOn w:val="1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unhideWhenUsed/>
    <w:qFormat/>
    <w:uiPriority w:val="99"/>
    <w:rPr>
      <w:color w:val="0563C1" w:themeColor="hyperlink"/>
      <w:u w:val="single"/>
      <w14:textFill>
        <w14:solidFill>
          <w14:schemeClr w14:val="hlink"/>
        </w14:solidFill>
      </w14:textFill>
    </w:rPr>
  </w:style>
  <w:style w:type="character" w:customStyle="1" w:styleId="22">
    <w:name w:val="标题 字符"/>
    <w:basedOn w:val="20"/>
    <w:link w:val="17"/>
    <w:qFormat/>
    <w:uiPriority w:val="10"/>
    <w:rPr>
      <w:rFonts w:ascii="Times New Roman" w:hAnsi="Times New Roman" w:eastAsia="黑体" w:cstheme="majorBidi"/>
      <w:b/>
      <w:spacing w:val="-10"/>
      <w:kern w:val="28"/>
      <w:sz w:val="24"/>
      <w:szCs w:val="56"/>
      <w14:ligatures w14:val="none"/>
    </w:rPr>
  </w:style>
  <w:style w:type="character" w:customStyle="1" w:styleId="23">
    <w:name w:val="标题 1 字符"/>
    <w:basedOn w:val="20"/>
    <w:link w:val="2"/>
    <w:qFormat/>
    <w:uiPriority w:val="9"/>
    <w:rPr>
      <w:rFonts w:ascii="Times New Roman" w:hAnsi="Times New Roman" w:eastAsia="黑体" w:cstheme="majorBidi"/>
      <w:b/>
      <w:color w:val="000000" w:themeColor="text1"/>
      <w:sz w:val="36"/>
      <w:szCs w:val="48"/>
      <w14:textFill>
        <w14:solidFill>
          <w14:schemeClr w14:val="tx1"/>
        </w14:solidFill>
      </w14:textFill>
      <w14:ligatures w14:val="none"/>
    </w:rPr>
  </w:style>
  <w:style w:type="character" w:customStyle="1" w:styleId="24">
    <w:name w:val="标题 3 字符"/>
    <w:basedOn w:val="20"/>
    <w:link w:val="4"/>
    <w:qFormat/>
    <w:uiPriority w:val="9"/>
    <w:rPr>
      <w:rFonts w:ascii="Times New Roman" w:hAnsi="Times New Roman" w:eastAsia="宋体" w:cstheme="majorBidi"/>
      <w:b/>
      <w:color w:val="000000" w:themeColor="text1"/>
      <w:sz w:val="24"/>
      <w:szCs w:val="32"/>
      <w14:textFill>
        <w14:solidFill>
          <w14:schemeClr w14:val="tx1"/>
        </w14:solidFill>
      </w14:textFill>
      <w14:ligatures w14:val="none"/>
    </w:rPr>
  </w:style>
  <w:style w:type="character" w:customStyle="1" w:styleId="25">
    <w:name w:val="标题 2 字符"/>
    <w:basedOn w:val="20"/>
    <w:link w:val="3"/>
    <w:qFormat/>
    <w:uiPriority w:val="9"/>
    <w:rPr>
      <w:rFonts w:ascii="Times New Roman" w:hAnsi="Times New Roman" w:eastAsia="黑体" w:cstheme="majorBidi"/>
      <w:b/>
      <w:color w:val="000000" w:themeColor="text1"/>
      <w:sz w:val="28"/>
      <w:szCs w:val="40"/>
      <w14:textFill>
        <w14:solidFill>
          <w14:schemeClr w14:val="tx1"/>
        </w14:solidFill>
      </w14:textFill>
      <w14:ligatures w14:val="none"/>
    </w:rPr>
  </w:style>
  <w:style w:type="character" w:customStyle="1" w:styleId="26">
    <w:name w:val="标题 4 字符"/>
    <w:basedOn w:val="20"/>
    <w:link w:val="5"/>
    <w:semiHidden/>
    <w:qFormat/>
    <w:uiPriority w:val="9"/>
    <w:rPr>
      <w:rFonts w:cstheme="majorBidi"/>
      <w:color w:val="2F5597" w:themeColor="accent1" w:themeShade="BF"/>
      <w:sz w:val="28"/>
      <w:szCs w:val="28"/>
      <w14:ligatures w14:val="none"/>
    </w:rPr>
  </w:style>
  <w:style w:type="character" w:customStyle="1" w:styleId="27">
    <w:name w:val="标题 5 字符"/>
    <w:basedOn w:val="20"/>
    <w:link w:val="6"/>
    <w:semiHidden/>
    <w:qFormat/>
    <w:uiPriority w:val="9"/>
    <w:rPr>
      <w:rFonts w:cstheme="majorBidi"/>
      <w:color w:val="2F5597" w:themeColor="accent1" w:themeShade="BF"/>
      <w:sz w:val="24"/>
      <w14:ligatures w14:val="none"/>
    </w:rPr>
  </w:style>
  <w:style w:type="character" w:customStyle="1" w:styleId="28">
    <w:name w:val="标题 6 字符"/>
    <w:basedOn w:val="20"/>
    <w:link w:val="7"/>
    <w:semiHidden/>
    <w:qFormat/>
    <w:uiPriority w:val="9"/>
    <w:rPr>
      <w:rFonts w:cstheme="majorBidi"/>
      <w:b/>
      <w:bCs/>
      <w:color w:val="2F5597" w:themeColor="accent1" w:themeShade="BF"/>
      <w:sz w:val="21"/>
      <w:szCs w:val="22"/>
      <w14:ligatures w14:val="none"/>
    </w:rPr>
  </w:style>
  <w:style w:type="character" w:customStyle="1" w:styleId="29">
    <w:name w:val="标题 7 字符"/>
    <w:basedOn w:val="20"/>
    <w:link w:val="8"/>
    <w:semiHidden/>
    <w:qFormat/>
    <w:uiPriority w:val="9"/>
    <w:rPr>
      <w:rFonts w:cstheme="majorBidi"/>
      <w:b/>
      <w:bCs/>
      <w:color w:val="595959" w:themeColor="text1" w:themeTint="A6"/>
      <w:sz w:val="21"/>
      <w:szCs w:val="22"/>
      <w14:textFill>
        <w14:solidFill>
          <w14:schemeClr w14:val="tx1">
            <w14:lumMod w14:val="65000"/>
            <w14:lumOff w14:val="35000"/>
          </w14:schemeClr>
        </w14:solidFill>
      </w14:textFill>
      <w14:ligatures w14:val="none"/>
    </w:rPr>
  </w:style>
  <w:style w:type="character" w:customStyle="1" w:styleId="30">
    <w:name w:val="标题 8 字符"/>
    <w:basedOn w:val="20"/>
    <w:link w:val="9"/>
    <w:semiHidden/>
    <w:qFormat/>
    <w:uiPriority w:val="9"/>
    <w:rPr>
      <w:rFonts w:cstheme="majorBidi"/>
      <w:color w:val="595959" w:themeColor="text1" w:themeTint="A6"/>
      <w:sz w:val="21"/>
      <w:szCs w:val="22"/>
      <w14:textFill>
        <w14:solidFill>
          <w14:schemeClr w14:val="tx1">
            <w14:lumMod w14:val="65000"/>
            <w14:lumOff w14:val="35000"/>
          </w14:schemeClr>
        </w14:solidFill>
      </w14:textFill>
      <w14:ligatures w14:val="none"/>
    </w:rPr>
  </w:style>
  <w:style w:type="character" w:customStyle="1" w:styleId="31">
    <w:name w:val="标题 9 字符"/>
    <w:basedOn w:val="20"/>
    <w:link w:val="10"/>
    <w:semiHidden/>
    <w:qFormat/>
    <w:uiPriority w:val="9"/>
    <w:rPr>
      <w:rFonts w:eastAsiaTheme="majorEastAsia" w:cstheme="majorBidi"/>
      <w:color w:val="595959" w:themeColor="text1" w:themeTint="A6"/>
      <w:sz w:val="21"/>
      <w:szCs w:val="22"/>
      <w14:textFill>
        <w14:solidFill>
          <w14:schemeClr w14:val="tx1">
            <w14:lumMod w14:val="65000"/>
            <w14:lumOff w14:val="35000"/>
          </w14:schemeClr>
        </w14:solidFill>
      </w14:textFill>
      <w14:ligatures w14:val="none"/>
    </w:rPr>
  </w:style>
  <w:style w:type="character" w:customStyle="1" w:styleId="32">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none"/>
    </w:rPr>
  </w:style>
  <w:style w:type="paragraph" w:styleId="33">
    <w:name w:val="Quote"/>
    <w:basedOn w:val="1"/>
    <w:next w:val="1"/>
    <w:link w:val="3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20"/>
    <w:link w:val="33"/>
    <w:qFormat/>
    <w:uiPriority w:val="29"/>
    <w:rPr>
      <w:rFonts w:ascii="Times New Roman" w:hAnsi="Times New Roman" w:eastAsia="宋体"/>
      <w:i/>
      <w:iCs/>
      <w:color w:val="404040" w:themeColor="text1" w:themeTint="BF"/>
      <w:sz w:val="21"/>
      <w:szCs w:val="22"/>
      <w14:textFill>
        <w14:solidFill>
          <w14:schemeClr w14:val="tx1">
            <w14:lumMod w14:val="75000"/>
            <w14:lumOff w14:val="25000"/>
          </w14:schemeClr>
        </w14:solidFill>
      </w14:textFill>
      <w14:ligatures w14:val="none"/>
    </w:rPr>
  </w:style>
  <w:style w:type="paragraph" w:styleId="35">
    <w:name w:val="List Paragraph"/>
    <w:basedOn w:val="1"/>
    <w:qFormat/>
    <w:uiPriority w:val="34"/>
    <w:pPr>
      <w:ind w:left="720"/>
      <w:contextualSpacing/>
    </w:pPr>
  </w:style>
  <w:style w:type="character" w:customStyle="1" w:styleId="36">
    <w:name w:val="Intense Emphasis"/>
    <w:basedOn w:val="20"/>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明显引用 字符"/>
    <w:basedOn w:val="20"/>
    <w:link w:val="37"/>
    <w:qFormat/>
    <w:uiPriority w:val="30"/>
    <w:rPr>
      <w:rFonts w:ascii="Times New Roman" w:hAnsi="Times New Roman" w:eastAsia="宋体"/>
      <w:i/>
      <w:iCs/>
      <w:color w:val="2F5597" w:themeColor="accent1" w:themeShade="BF"/>
      <w:sz w:val="21"/>
      <w:szCs w:val="22"/>
      <w14:ligatures w14:val="none"/>
    </w:rPr>
  </w:style>
  <w:style w:type="character" w:customStyle="1" w:styleId="39">
    <w:name w:val="Intense Reference"/>
    <w:basedOn w:val="20"/>
    <w:qFormat/>
    <w:uiPriority w:val="32"/>
    <w:rPr>
      <w:b/>
      <w:bCs/>
      <w:smallCaps/>
      <w:color w:val="2F5597" w:themeColor="accent1" w:themeShade="BF"/>
      <w:spacing w:val="5"/>
    </w:rPr>
  </w:style>
  <w:style w:type="character" w:customStyle="1" w:styleId="40">
    <w:name w:val="页眉 字符"/>
    <w:basedOn w:val="20"/>
    <w:link w:val="13"/>
    <w:qFormat/>
    <w:uiPriority w:val="99"/>
    <w:rPr>
      <w:rFonts w:ascii="Times New Roman" w:hAnsi="Times New Roman" w:eastAsia="宋体"/>
      <w:sz w:val="18"/>
      <w:szCs w:val="18"/>
      <w14:ligatures w14:val="none"/>
    </w:rPr>
  </w:style>
  <w:style w:type="character" w:customStyle="1" w:styleId="41">
    <w:name w:val="页脚 字符"/>
    <w:basedOn w:val="20"/>
    <w:link w:val="12"/>
    <w:qFormat/>
    <w:uiPriority w:val="99"/>
    <w:rPr>
      <w:rFonts w:ascii="Times New Roman" w:hAnsi="Times New Roman" w:eastAsia="宋体"/>
      <w:sz w:val="18"/>
      <w:szCs w:val="18"/>
      <w14:ligatures w14:val="none"/>
    </w:rPr>
  </w:style>
  <w:style w:type="character" w:customStyle="1" w:styleId="42">
    <w:name w:val="Unresolved Mention"/>
    <w:basedOn w:val="2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E39E7-B3C3-445C-BF58-E837BD37AACC}">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1620</Words>
  <Characters>1884</Characters>
  <Lines>502</Lines>
  <Paragraphs>569</Paragraphs>
  <TotalTime>15</TotalTime>
  <ScaleCrop>false</ScaleCrop>
  <LinksUpToDate>false</LinksUpToDate>
  <CharactersWithSpaces>1958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2026-05-09T07:09:00Z</dcterms:created>
  <dc:creator>雪 文</dc:creator>
  <cp:lastModifiedBy>文雪</cp:lastModifiedBy>
  <cp:lastPrinted>2026-05-11T03:34:00Z</cp:lastPrinted>
  <dcterms:modified xsi:type="dcterms:W3CDTF">2026-06-15T08:15:52Z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eyJoZGlkIjoiOWM0MTFkNzllZGU5ZDkyMmI5MDFlNzUxZmVmMDExNmEiLCJ1c2VySWQiOiIxNjE5MTAzNzc5In0=</vt:lpwstr>
  </property>
  <property fmtid="{D5CDD505-2E9C-101B-9397-08002B2CF9AE}" pid="3" name="KSOProductBuildVer">
    <vt:lpwstr>2052-12.1.0.23542</vt:lpwstr>
  </property>
  <property fmtid="{D5CDD505-2E9C-101B-9397-08002B2CF9AE}" pid="4" name="ICV">
    <vt:lpwstr>5287F08B13BF4D27B71C5F265F6AE49E_12</vt:lpwstr>
  </property>
</Properties>
</file>