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经营分析</w:t>
            </w:r>
            <w:r>
              <w:rPr>
                <w:rFonts w:eastAsia="宋体" w:ascii="Times New Roman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数据分析全流程：掌握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Python/R/SPSS/Excel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份问卷，能独立完成清洗→建模→可视化→结论输出，擅长竞品与行业数据分析并输出经营建议报告；建模落地：独立构建选址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求解），测算总成本降低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，具备搭建数据分析模型并落地的能力；数据敏感度：基于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条真实营销数据做多维度分层，用帕累托图、相关性热力图、转化瀑布图定位高价值客群与流失关键环节，善于发现数据异常与业务规律；项目主导力：独立主导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个研究项目从问题定义、数据收集到报告交付全流程；统筹设计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份问卷调研，具备数据项目</w:t>
            </w:r>
            <w:r>
              <w:rPr>
                <w:rFonts w:eastAsia="宋体" w:ascii="Times New Roman" w:hAnsi="Times New Roman"/>
                <w:sz w:val="21"/>
              </w:rPr>
              <w:t xml:space="preserve">owner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程序设计、大数据管理与分析、供应链建模与仿真、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电商用户行为分析与经营洞察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）显著正向影响用户感知价值，识别问题识别准确性、智能解决能力为核心影响因素，为业务优化提供数据支撑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针对自提点布局零散痛点，构建选址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路径双层优化模型，将年龄分层服务半径纳入目标函数，基于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动态临时点”方案：总成本降低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，验证「数据→模型→决策」闭环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以账套主管角色独立完成采购订单→到货入库→销售订单→发货出库→库存调拨→盘点→存货核算→收付款凭证全流程实操，理解业务数据流转逻辑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搭建分类台账与“录入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跨部门同步项目进度，按月汇总执行数据形成工作小结，梳理并标准化审核报批流程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落实数十种原辅料日盘与效期管理，按消耗规律提醒解冻备货，降低物料损耗与缺货风险；根据销售数据同步补货需求，保持库存账实一致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分析能力：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数据清洗→建模→可视化→结论输出全流程，帕累托图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相关性热力图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瀑布图等专业图表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项目主导与跨部门对接、电子台账搭建、流程梳理与标准化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