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  <w:spacing w:line="290" w:lineRule="atLeast" w:before="0" w:after="0"/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 w:before="0" w:after="0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Pr="008577DB"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市场研究</w:t>
            </w:r>
            <w:r>
              <w:rPr>
                <w:rFonts w:eastAsia="宋体" w:ascii="Times New Roman" w:hAnsi="Times New Roman"/>
                <w:sz w:val="21"/>
              </w:rPr>
              <w:t xml:space="preserve"> / 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数据分析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消费者洞察：基于</w:t>
            </w:r>
            <w:r>
              <w:rPr>
                <w:rFonts w:eastAsia="宋体" w:ascii="Times New Roman" w:hAnsi="Times New Roman"/>
                <w:sz w:val="21"/>
              </w:rPr>
              <w:t xml:space="preserve">TAM</w:t>
            </w:r>
            <w:r>
              <w:rPr>
                <w:rFonts w:ascii="Times New Roman" w:eastAsia="宋体" w:hAnsi="Times New Roman" w:cs="宋体"/>
                <w:sz w:val="21"/>
              </w:rPr>
              <w:t xml:space="preserve">模型设计并回收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份有效问卷，用</w:t>
            </w:r>
            <w:r>
              <w:rPr>
                <w:rFonts w:eastAsia="宋体" w:ascii="Times New Roman" w:hAnsi="Times New Roman"/>
                <w:sz w:val="21"/>
              </w:rPr>
              <w:t xml:space="preserve">SPSS/Python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完成统计分析，识别影响用户感知价值的关键因素，具备消费者研究全流程经验；数据分析全流程：掌握</w:t>
            </w:r>
            <w:r>
              <w:rPr>
                <w:rFonts w:eastAsia="宋体" w:ascii="Times New Roman" w:hAnsi="Times New Roman"/>
                <w:sz w:val="21"/>
              </w:rPr>
              <w:t xml:space="preserve">Python/R/SPSS/Excel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，累计处理</w:t>
            </w:r>
            <w:r>
              <w:rPr>
                <w:rFonts w:eastAsia="宋体" w:ascii="Times New Roman" w:hAnsi="Times New Roman"/>
                <w:sz w:val="21"/>
              </w:rPr>
              <w:t xml:space="preserve">4.5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万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条业务数据，能独立完成清洗→建模→可视化→结论输出；运营视角洞察：基于</w:t>
            </w:r>
            <w:r>
              <w:rPr>
                <w:rFonts w:eastAsia="宋体" w:ascii="Times New Roman" w:hAnsi="Times New Roman"/>
                <w:sz w:val="21"/>
              </w:rPr>
              <w:t xml:space="preserve">45211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条真实数据做多维度分层，用帕累托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相关性热力图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瀑布图定位高价值客群与流失关键环节，擅长从数据中发现运营漏洞与行业规律；模型落地：独立构建优化模型（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求解），测算成本降低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、配送时长缩短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，具备「数据→建议→方案」闭环能力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 w:before="0" w:after="0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4E04C1E1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90" w:lineRule="atLeast" w:before="0" w:after="0"/>
              <w:ind w:left="442" w:hanging="442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统计学、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程序设计、大数据管理与分析、供应链建模与仿真、采购管理、物流管理、数据科学与大数据分析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 w:before="0" w:after="0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6A75AAC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p w14:paraId="7D4E3D1E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3D8B906D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E30680F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1214E5B6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电商用户行为分析与消费者洞察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TAM</w:t>
            </w:r>
            <w:r>
              <w:rPr>
                <w:rFonts w:ascii="Times New Roman" w:eastAsia="宋体" w:hAnsi="Times New Roman" w:cs="宋体"/>
                <w:sz w:val="21"/>
              </w:rPr>
              <w:t xml:space="preserve">模型设计</w:t>
            </w:r>
            <w:r>
              <w:rPr>
                <w:rFonts w:eastAsia="宋体" w:ascii="Times New Roman" w:hAnsi="Times New Roman"/>
                <w:sz w:val="21"/>
              </w:rPr>
              <w:t xml:space="preserve">7</w:t>
            </w:r>
            <w:r>
              <w:rPr>
                <w:rFonts w:ascii="Times New Roman" w:eastAsia="宋体" w:hAnsi="Times New Roman" w:cs="宋体"/>
                <w:sz w:val="21"/>
              </w:rPr>
              <w:t xml:space="preserve">点李克特量表问卷，回收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份有效样本，用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和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完成统计分析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验证交互性（</w:t>
            </w:r>
            <w:r>
              <w:rPr>
                <w:rFonts w:eastAsia="宋体" w:ascii="Times New Roman" w:hAnsi="Times New Roman"/>
                <w:sz w:val="21"/>
              </w:rPr>
              <w:t xml:space="preserve">β=0.42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）、个性化（</w:t>
            </w:r>
            <w:r>
              <w:rPr>
                <w:rFonts w:eastAsia="宋体" w:ascii="Times New Roman" w:hAnsi="Times New Roman"/>
                <w:sz w:val="21"/>
              </w:rPr>
              <w:t xml:space="preserve">β=0.38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）、自主性（</w:t>
            </w:r>
            <w:r>
              <w:rPr>
                <w:rFonts w:eastAsia="宋体" w:ascii="Times New Roman" w:hAnsi="Times New Roman"/>
                <w:sz w:val="21"/>
              </w:rPr>
              <w:t xml:space="preserve">β=0.31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）显著正向影响用户感知价值，识别问题识别准确性、智能解决能力为核心影响因素，输出消费者洞察结论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银行电话营销客户响应行为分析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45211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条真实营销数据，用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完成缺失值与异常值清洗，多维度分层统计客户群体响应差异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独立绘制帕累托图、相关性热力图、订阅转化率瀑布图，识别关键影响变量，为营销资源分配提供数据支撑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社区团购末端网络运营优化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针对末端配送效率低、老年群体覆盖不足问题，基于</w:t>
            </w:r>
            <w:r>
              <w:rPr>
                <w:rFonts w:eastAsia="宋体" w:ascii="Times New Roman" w:hAnsi="Times New Roman"/>
                <w:sz w:val="21"/>
              </w:rPr>
              <w:t xml:space="preserve">15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个候选点、日均</w:t>
            </w:r>
            <w:r>
              <w:rPr>
                <w:rFonts w:eastAsia="宋体" w:ascii="Times New Roman" w:hAnsi="Times New Roman"/>
                <w:sz w:val="21"/>
              </w:rPr>
              <w:t xml:space="preserve">345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单真实数据设计“</w:t>
            </w:r>
            <w:r>
              <w:rPr>
                <w:rFonts w:eastAsia="宋体" w:ascii="Times New Roman" w:hAnsi="Times New Roman"/>
                <w:sz w:val="21"/>
              </w:rPr>
              <w:t xml:space="preserve">2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核心点</w:t>
            </w:r>
            <w:r>
              <w:rPr>
                <w:rFonts w:eastAsia="宋体" w:ascii="Times New Roman" w:hAnsi="Times New Roman"/>
                <w:sz w:val="21"/>
              </w:rPr>
              <w:t xml:space="preserve">+4</w:t>
            </w:r>
            <w:r>
              <w:rPr>
                <w:rFonts w:ascii="Times New Roman" w:eastAsia="宋体" w:hAnsi="Times New Roman" w:cs="宋体"/>
                <w:sz w:val="21"/>
              </w:rPr>
              <w:t xml:space="preserve">动态临时点”弹性方案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模型测算：总成本降低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、老年覆盖率</w:t>
            </w:r>
            <w:r>
              <w:rPr>
                <w:rFonts w:eastAsia="宋体" w:ascii="Times New Roman" w:hAnsi="Times New Roman"/>
                <w:sz w:val="21"/>
              </w:rPr>
              <w:t xml:space="preserve">53.4%</w:t>
            </w:r>
            <w:r>
              <w:rPr>
                <w:rFonts w:ascii="Times New Roman" w:eastAsia="宋体" w:hAnsi="Times New Roman" w:cs="宋体"/>
                <w:sz w:val="21"/>
              </w:rPr>
              <w:t xml:space="preserve">→</w:t>
            </w:r>
            <w:r>
              <w:rPr>
                <w:rFonts w:eastAsia="宋体" w:ascii="Times New Roman" w:hAnsi="Times New Roman"/>
                <w:sz w:val="21"/>
              </w:rPr>
              <w:t xml:space="preserve">87.3%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、配送时长缩短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，可响应周末</w:t>
            </w:r>
            <w:r>
              <w:rPr>
                <w:rFonts w:eastAsia="宋体" w:ascii="Times New Roman" w:hAnsi="Times New Roman"/>
                <w:sz w:val="21"/>
              </w:rPr>
              <w:t xml:space="preserve">29.9%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、促销日</w:t>
            </w:r>
            <w:r>
              <w:rPr>
                <w:rFonts w:eastAsia="宋体" w:ascii="Times New Roman" w:hAnsi="Times New Roman"/>
                <w:sz w:val="21"/>
              </w:rPr>
              <w:t xml:space="preserve">50.7%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的需求波动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以账套主管角色独立完成采购→入库→销售→出库→调拨→盘点→核算→凭证全流程实操，理解业务数据流转与单据联动逻辑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6584C135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份申报材料全流程管理，用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搭建分类台账与三级校验机制，实现零差错提交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跨部门同步进度，按月汇总执行数据，梳理并标准化审核报批流程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落实数十种原辅料日盘与效期管理，按消耗规律安排解冻备货，降低物料损耗与缺货风险；根据销售数据同步补货需求，保持库存账实一致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  <w:spacing w:line="290" w:lineRule="atLeast" w:before="0" w:after="0"/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  <w:spacing w:line="290" w:lineRule="atLeast" w:before="0" w:after="0"/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数据工具：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（问卷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统计分析）、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（数据透视表、</w:t>
            </w:r>
            <w:r>
              <w:rPr>
                <w:rFonts w:eastAsia="宋体" w:ascii="Times New Roman" w:hAnsi="Times New Roman"/>
                <w:sz w:val="21"/>
              </w:rPr>
              <w:t xml:space="preserve">VLOOKUP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、函数、图表可视化）、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</w:t>
            </w:r>
            <w:r>
              <w:rPr>
                <w:rFonts w:eastAsia="宋体" w:ascii="Times New Roman" w:hAnsi="Times New Roman"/>
                <w:sz w:val="21"/>
              </w:rPr>
              <w:t xml:space="preserve">pandas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matplotlib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研究能力：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问卷设计与回收、统计分析、行业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竞品数据洞察、分析模型搭建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业务系统：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销售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核算全流程）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语言能力：</w:t>
            </w:r>
            <w:r>
              <w:rPr>
                <w:rFonts w:eastAsia="宋体" w:ascii="Times New Roman" w:hAnsi="Times New Roman"/>
                <w:sz w:val="21"/>
              </w:rPr>
              <w:t xml:space="preserve">CET-4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，可阅读英文专业资料与基础商务沟通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项目主导与跨部门对接、电子台账搭建、流程梳理与标准化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  <w:spacing w:line="290" w:lineRule="atLeast" w:before="0" w:after="0"/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