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经营分析</w:t>
            </w:r>
            <w:r>
              <w:rPr>
                <w:rFonts w:eastAsia="宋体" w:ascii="Times New Roman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数据分析全流程：掌握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Python/R/SPSS/Excel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份问卷，能独立完成清洗→建模→可视化→结论输出；建模落地：独立构建选址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求解），测算总成本降低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，具备搭建数据分析模型并落地的能力；数据敏感度：基于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条真实营销数据做多维度分层，用帕累托图、相关性热力图、转化瀑布图定位高价值客群与流失关键环节，善于发现数据异常与业务规律；项目主导力：独立主导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个研究项目从问题定义、数据收集到报告交付全流程；统筹设计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份问卷调研，具备数据项目</w:t>
            </w:r>
            <w:r>
              <w:rPr>
                <w:rFonts w:eastAsia="宋体" w:ascii="Times New Roman" w:hAnsi="Times New Roman"/>
                <w:sz w:val="21"/>
              </w:rPr>
              <w:t xml:space="preserve">owner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程序设计、大数据管理与分析、供应链建模与仿真、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电商用户行为分析与经营洞察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）显著正向影响用户感知价值，识别问题识别准确性、智能解决能力为核心影响因素，为业务优化提供数据支撑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针对自提点布局零散痛点，构建选址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路径双层优化模型，将年龄分层服务半径纳入目标函数，基于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动态临时点”方案：总成本降低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，验证「数据→模型→决策」闭环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以账套主管角色独立完成采购订单→到货入库→销售订单→发货出库→库存调拨→盘点→存货核算→收付款凭证全流程实操，理解业务数据流转逻辑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跨部门同步项目进度，按月汇总执行数据形成工作小结，梳理并标准化审核报批流程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落实数十种原辅料日盘与效期管理，按消耗规律提醒解冻备货，降低物料损耗与缺货风险；根据销售数据同步补货需求，保持库存账实一致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分析能力：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数据清洗→建模→可视化→结论输出全流程，帕累托图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相关性热力图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瀑布图等专业图表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项目主导与跨部门对接、电子台账搭建、流程梳理与标准化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