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跟踪：把长周期任务拆成清单式步骤，按交付节点核进度、留痕复盘，200+份材料零差错；异常原因分析：先从数据定位高发环节，再定责任人定时间，不靠口头催；跨部门推动：对接各部门同步进度、按月汇总执行数据，用台账推进而不是靠催；系统逻辑：用友U8跑通采购到付款全链路，清楚单据卡在哪个模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供应链管理概论、物流管理、库存管理与控制、运筹学、ERP供应链管理综合实验、统计学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异常分析：整理各模块的单据流转与数据生成节点，找出入库验收、调拨两个账实不符高发点，据此设核对动作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链路打通：把采购到付款链路与计划、库存打通，入库单与库存台账逐环核对，形成统一的核对口径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单据联动：采购订单生成入库单、入库单推进库存台账、发票与付款生成应付，四类单据的关联字段逐一对应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缺口管理：把需求与现有服务能力逐点比对，找出覆盖不足的片区，再决定增点位置与临时点启用条件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测算口径：服务半径按人群分层设定，先定约束再求解，不让结果靠反复调参凑出来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 条营销数据，用 R 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原因分析：帕累托图定位高贡献客群，相关系数热力图看变量关联，瀑布图找流失最集中的环节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结论输出：识别出影响客户响应的关键变量，为资源投放的排序提供数据依据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交付监控：按部门与材料类型建进度表，标出未完成项与责任人，按节点核对达成情况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