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建模能力：把选址与配送拆成双层模型用Python求解，并与遗传算法、模拟退火对比收敛效果与求解质量；数据清洗：独立处理45211条营销数据，从缺失值、异常值到分层统计、可视化出图一条线走完；工具应用：Excel透视表与函数熟练，Python（pandas）、R、SPSS按场景选用，用友U8的采购与存货核算完整跑过；结果导向：项目都做到给出结论，选址算出总成本降18.7%，调研落到三个显著变量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双层建模：上层用改进p-median按600/800/1000m分层设服务半径约束，下层用VRPTW排配送线路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效果验证：老年覆盖率53.4%→87.3%、配送时长降22.3%；按周末29.9%、促销日50.7%的波动复核，方案仍可承接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交付呈现：输出优化前后布局对比图与GA收敛曲线，选点结果落到小区地图上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可视化分析：帕累托图定位高贡献客群，热力图比对变量关联，瀑布图定位流失最集中的环节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结论输出：按年龄、职业、营销频次三类维度分层后，高贡献客群与流失环节可逐项对应，为资源投放排序提供依据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全流程操作：以账套主管在U8走完采购订单、到货入库、销售出库、调拨、盘点到存货核算与收付款凭证，按单据生成节点逐环核对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链路认知：把采购到付款（P2P）链路与计划、库存打通，入库单与库存台账逐环核对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收货与补货：配送到货点数、核对品种与数量，缺件破损当场上报；按当天销售与消耗提醒补充常用原料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