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采购管培/供应商管理/项目管理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到付款全流程，清楚验收与对账是最容易卡住的节点；成本分析：建制造商、零售商、回收商三方利润函数做Stackelberg定价，测算补贴变化对回收量与价格的影响；供应链金融：调研86.3%中小跨境电商因缺抵押被拒贷，方案测算融资时效提升72%；单据台账：200+份申报材料设三级校验零差错，用友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盘点与补货：参与数十种原辅料日常盘点、协助检查效期与临期报损；按当天销售提醒补充常用原料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全流程操作：在U8独立走完请购、订单、入库、调拨、盘点、存货核算到付款，对象为模拟箱包企业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流程复盘：理清请购到对账的单据流转，验收与对账是采购到付款最易卡住的两个节点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系统认知：把采购到付款（P2P）链路与计划、库存打通，入库单、库存台账到存货核算逐环对上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敏感性分析：放开政府补贴参数测算多渠道回收量，理清三方利润来源与成本承担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问题诊断：86.3%的中小跨境电商因缺抵押被拒贷，平均审批15天，跟不上高频小额节奏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方案设计：用真实贸易数据加区块链存证与动态风控，把融资从人工审核推到系统决策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效果测算：按方案测算融资时效可提升72%，不良率控制在2%以内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