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采购管培/供应商管理/项目管理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流程：用友U8上以账套主管走完请购到付款全流程，清楚验收与对账是最容易卡住的节点；成本分析：建制造商、零售商、回收商三方利润函数做Stackelberg定价，测算补贴变化对回收量与价格的影响；供应链金融：调研86.3%中小跨境电商因缺抵押被拒贷，方案测算融资时效提升72%；单据台账：200+份申报材料设三级校验零差错，用友U8里的采购与入库单据逐笔核对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采购管理、供应链资源规划、库存管理、物流管理、ERP供应链管理综合实验、统计学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盘点与补货：参与数十种原辅料日常盘点、协助检查效期与临期报损；按当天销售提醒补充常用原料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全流程操作：在U8独立走完请购、订单、入库、调拨、盘点、存货核算到付款，对象为模拟箱包企业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流程复盘：理清请购到对账的单据流转，验收与对账是采购到付款最易卡住的两个节点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系统认知：把采购到付款（P2P）链路与计划、库存打通，入库单、库存台账到存货核算逐环对上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双层建模：15个候选点、日均345单上做选址与路径模型，上层改进p-median选点、下层VRPTW排线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求解验证：Python求解，并与遗传算法、模拟退火比对收敛速度与解的质量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结果测算：总成本降18.7%，老年覆盖率53.4%→87.3%，配送时长缩短22.3%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动力电池闭环供应链定价决策研究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模型构建：建制造商、零售商、第三方回收商三方利润函数，用Stackelberg博弈求最优定价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敏感性分析：放开政府补贴参数测算多渠道回收量，理清三方利润来源与成本承担</w:t>
            </w:r>
          </w:p>
        </w:tc>
      </w:tr>
      <w:tr w:rsidR="00953A3C" w:rsidRPr="00BF4C70" w14:paraId="0CBEC90D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55F5B11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6355912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跨境电商供应链金融方案设计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6BC5D" w14:textId="77777777" w:rsidR="00953A3C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517CC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2025.12</w:t>
            </w:r>
          </w:p>
        </w:tc>
      </w:tr>
      <w:tr w:rsidR="00953A3C" w:rsidRPr="00BF4C70" w14:paraId="1A69EEE4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589D555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问题诊断：86.3%的中小跨境电商因缺抵押被拒贷，平均审批15天，跟不上高频小额节奏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方案设计：用真实贸易数据加区块链存证与动态风控，把融资从人工审核推到系统决策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效果测算：按方案测算融资时效可提升72%，不良率控制在2%以内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物资统筹：院级活动物资申领、出入库登记与台账记录，按台账记录调度物料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