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2C67A" w14:textId="418D6ABA" w:rsidR="00D826C1" w:rsidRPr="00D826C1" w:rsidRDefault="00D826C1" w:rsidP="00D826C1">
      <w:pPr>
        <w:pStyle w:val="Title"/>
      </w:pPr>
      <w:proofErr w:type="spellStart"/>
      <w:r w:rsidRPr="00D826C1">
        <w:t>KickStart</w:t>
      </w:r>
      <w:r w:rsidR="008C42C9">
        <w:t>er</w:t>
      </w:r>
      <w:proofErr w:type="spellEnd"/>
      <w:r w:rsidRPr="00D826C1">
        <w:t xml:space="preserve"> My Chart</w:t>
      </w:r>
    </w:p>
    <w:p w14:paraId="31F50DD4" w14:textId="77777777" w:rsidR="00D826C1" w:rsidRDefault="00D826C1" w:rsidP="00D826C1"/>
    <w:p w14:paraId="21204E91" w14:textId="77777777" w:rsidR="00D826C1" w:rsidRDefault="00D826C1" w:rsidP="008228F4">
      <w:pPr>
        <w:pStyle w:val="Heading1"/>
      </w:pPr>
      <w:r>
        <w:t>Background</w:t>
      </w:r>
    </w:p>
    <w:p w14:paraId="6F72CE44" w14:textId="77777777" w:rsidR="00D826C1" w:rsidRDefault="00D826C1" w:rsidP="00D826C1"/>
    <w:p w14:paraId="225FEC62" w14:textId="77777777" w:rsidR="00D826C1" w:rsidRDefault="008228F4" w:rsidP="00D826C1">
      <w:r>
        <w:t>“</w:t>
      </w:r>
      <w:r w:rsidR="00D826C1">
        <w:t>Over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14:paraId="54FC31CF" w14:textId="77777777" w:rsidR="00D826C1" w:rsidRDefault="00D826C1" w:rsidP="00D826C1">
      <w:r>
        <w:t xml:space="preserve">Since getting funded on Kickstarter requires meeting or exceeding the project's initial goal, many organizations spend months looking through past projects </w:t>
      </w:r>
      <w:proofErr w:type="gramStart"/>
      <w:r>
        <w:t>in an attempt to</w:t>
      </w:r>
      <w:proofErr w:type="gramEnd"/>
      <w:r>
        <w:t xml:space="preserve"> discover some trick to finding success. For this week's homework, you will organize and analyze a database of four thousand past projects in order to uncover any hidden trends.</w:t>
      </w:r>
      <w:r w:rsidR="008228F4">
        <w:t>” [1]</w:t>
      </w:r>
    </w:p>
    <w:p w14:paraId="6A0FB39B" w14:textId="158AB176" w:rsidR="00D826C1" w:rsidRDefault="00AD0BE9" w:rsidP="00D826C1">
      <w:r>
        <w:t xml:space="preserve">The above background is from the homework instruction. </w:t>
      </w:r>
      <w:r w:rsidR="00CA3A6E">
        <w:t>Since I never heard about</w:t>
      </w:r>
      <w:r w:rsidR="00077A80">
        <w:t xml:space="preserve"> the Kickstarter</w:t>
      </w:r>
      <w:r w:rsidR="00CA3A6E">
        <w:t xml:space="preserve"> before</w:t>
      </w:r>
      <w:r w:rsidR="00077A80">
        <w:t xml:space="preserve">, the context is not enough to understand and analyze the data. By some further research about the target, several important </w:t>
      </w:r>
      <w:r w:rsidR="00830193">
        <w:t>findings</w:t>
      </w:r>
      <w:r w:rsidR="00077A80">
        <w:t xml:space="preserve"> are listed </w:t>
      </w:r>
      <w:r w:rsidR="008C42C9">
        <w:t>below</w:t>
      </w:r>
      <w:r w:rsidR="00077A80">
        <w:t xml:space="preserve">. </w:t>
      </w:r>
    </w:p>
    <w:p w14:paraId="776A203D" w14:textId="77777777" w:rsidR="00077A80" w:rsidRDefault="00077A80" w:rsidP="00077A80">
      <w:pPr>
        <w:pStyle w:val="ListParagraph"/>
        <w:numPr>
          <w:ilvl w:val="0"/>
          <w:numId w:val="1"/>
        </w:numPr>
      </w:pPr>
      <w:r>
        <w:t>Kickstarter’s funding campaign follows the “a</w:t>
      </w:r>
      <w:r w:rsidRPr="00077A80">
        <w:t>ll-or-nothing</w:t>
      </w:r>
      <w:r>
        <w:t xml:space="preserve">” funding procedure. </w:t>
      </w:r>
    </w:p>
    <w:p w14:paraId="3D63C9AF" w14:textId="1132F71E" w:rsidR="00077A80" w:rsidRDefault="00077A80" w:rsidP="00077A80">
      <w:pPr>
        <w:pStyle w:val="ListParagraph"/>
        <w:numPr>
          <w:ilvl w:val="0"/>
          <w:numId w:val="1"/>
        </w:numPr>
      </w:pPr>
      <w:r>
        <w:t>The backer cannot be investor but “supporter” with potential rewards provided by the project creator such as “</w:t>
      </w:r>
      <w:r w:rsidRPr="00077A80">
        <w:t>a copy of what's being produced, a limited edition, or a custom experience related to the project</w:t>
      </w:r>
      <w:r>
        <w:t>”</w:t>
      </w:r>
      <w:r w:rsidR="00CA3A6E">
        <w:t>.</w:t>
      </w:r>
    </w:p>
    <w:p w14:paraId="383D0C6D" w14:textId="77777777" w:rsidR="00077A80" w:rsidRDefault="00077A80" w:rsidP="00077A80">
      <w:pPr>
        <w:pStyle w:val="ListParagraph"/>
        <w:numPr>
          <w:ilvl w:val="0"/>
          <w:numId w:val="1"/>
        </w:numPr>
      </w:pPr>
      <w:r>
        <w:t>The funding goal and timeframe are set by the creator with the campaign storyline</w:t>
      </w:r>
      <w:r w:rsidR="005C1938">
        <w:t xml:space="preserve">. The campaign storyline normally will include the reward section. </w:t>
      </w:r>
    </w:p>
    <w:p w14:paraId="191280E0" w14:textId="6B3EED5F" w:rsidR="005C1938" w:rsidRDefault="005C1938" w:rsidP="00077A80">
      <w:pPr>
        <w:pStyle w:val="ListParagraph"/>
        <w:numPr>
          <w:ilvl w:val="0"/>
          <w:numId w:val="1"/>
        </w:numPr>
      </w:pPr>
      <w:r>
        <w:t xml:space="preserve">Kickstarter website has its search engine with </w:t>
      </w:r>
      <w:r w:rsidR="00CA3A6E">
        <w:t>special</w:t>
      </w:r>
      <w:r>
        <w:t xml:space="preserve"> filter</w:t>
      </w:r>
      <w:r w:rsidR="00CA3A6E">
        <w:t>s such as</w:t>
      </w:r>
      <w:r>
        <w:t xml:space="preserve"> “Project we love” and “Trend”.</w:t>
      </w:r>
      <w:r w:rsidR="00BF624D" w:rsidRPr="00BF624D">
        <w:t xml:space="preserve"> </w:t>
      </w:r>
      <w:r w:rsidR="00BF624D">
        <w:t>[2]</w:t>
      </w:r>
    </w:p>
    <w:p w14:paraId="75E6CB97" w14:textId="77777777" w:rsidR="008228F4" w:rsidRDefault="008228F4" w:rsidP="008228F4">
      <w:pPr>
        <w:pStyle w:val="Heading1"/>
      </w:pPr>
      <w:r>
        <w:t>Questions and discussions</w:t>
      </w:r>
    </w:p>
    <w:p w14:paraId="321D653B" w14:textId="77777777" w:rsidR="004B2234" w:rsidRDefault="00D826C1" w:rsidP="00D826C1">
      <w:pPr>
        <w:pStyle w:val="ListParagraph"/>
        <w:numPr>
          <w:ilvl w:val="0"/>
          <w:numId w:val="2"/>
        </w:numPr>
      </w:pPr>
      <w:r>
        <w:t>What are three conclusions we can make about Kickstarter campaigns given the provided data?</w:t>
      </w:r>
    </w:p>
    <w:p w14:paraId="2CC14833" w14:textId="77777777" w:rsidR="004B2234" w:rsidRDefault="00D826C1" w:rsidP="00D826C1">
      <w:pPr>
        <w:pStyle w:val="ListParagraph"/>
        <w:numPr>
          <w:ilvl w:val="0"/>
          <w:numId w:val="2"/>
        </w:numPr>
      </w:pPr>
      <w:r>
        <w:t>What are some of the limitations of this dataset?</w:t>
      </w:r>
    </w:p>
    <w:p w14:paraId="0DFB961C" w14:textId="4567CE4C" w:rsidR="0088094C" w:rsidRDefault="00D826C1" w:rsidP="00D826C1">
      <w:pPr>
        <w:pStyle w:val="ListParagraph"/>
        <w:numPr>
          <w:ilvl w:val="0"/>
          <w:numId w:val="2"/>
        </w:numPr>
      </w:pPr>
      <w:r>
        <w:t>What are some other possible tables/graphs that we could create?</w:t>
      </w:r>
    </w:p>
    <w:p w14:paraId="07BA71E3" w14:textId="5932DFB6" w:rsidR="004B2234" w:rsidRDefault="00CA3A6E" w:rsidP="004B2234">
      <w:r>
        <w:t>S</w:t>
      </w:r>
      <w:r w:rsidR="003D34D7">
        <w:t xml:space="preserve">ince investment </w:t>
      </w:r>
      <w:r w:rsidR="00830193">
        <w:t>is not accepted by</w:t>
      </w:r>
      <w:r w:rsidR="003D34D7">
        <w:t xml:space="preserve"> Kickstarter, the conclusion </w:t>
      </w:r>
      <w:r>
        <w:t>is presented through the</w:t>
      </w:r>
      <w:r w:rsidR="003D34D7">
        <w:t xml:space="preserve"> </w:t>
      </w:r>
      <w:r w:rsidR="004B2234">
        <w:t xml:space="preserve">generic and </w:t>
      </w:r>
      <w:r>
        <w:t xml:space="preserve">the </w:t>
      </w:r>
      <w:r w:rsidR="003D34D7">
        <w:t>potential creators</w:t>
      </w:r>
      <w:r w:rsidR="004B2234">
        <w:t>’ view</w:t>
      </w:r>
      <w:r w:rsidR="00830193">
        <w:t>s</w:t>
      </w:r>
      <w:r>
        <w:t xml:space="preserve"> with three discussions</w:t>
      </w:r>
      <w:r w:rsidR="00830193">
        <w:t>:</w:t>
      </w:r>
      <w:r>
        <w:t xml:space="preserve"> Categories, Dates, and Goals</w:t>
      </w:r>
      <w:r w:rsidR="003D34D7">
        <w:t xml:space="preserve">. </w:t>
      </w:r>
      <w:r w:rsidR="004B2234">
        <w:t xml:space="preserve">The limitation of the dataset </w:t>
      </w:r>
      <w:r>
        <w:t>is</w:t>
      </w:r>
      <w:r w:rsidR="00830193">
        <w:t xml:space="preserve"> discussed at the</w:t>
      </w:r>
      <w:r>
        <w:t xml:space="preserve"> last</w:t>
      </w:r>
      <w:r w:rsidR="00830193">
        <w:t xml:space="preserve"> section individually</w:t>
      </w:r>
      <w:r w:rsidR="004B2234">
        <w:t xml:space="preserve">. More tables and graphs </w:t>
      </w:r>
      <w:r>
        <w:t>have</w:t>
      </w:r>
      <w:r w:rsidR="004B2234">
        <w:t xml:space="preserve"> be</w:t>
      </w:r>
      <w:r>
        <w:t>en</w:t>
      </w:r>
      <w:r w:rsidR="004B2234">
        <w:t xml:space="preserve"> added </w:t>
      </w:r>
      <w:r>
        <w:t xml:space="preserve">through the whole discussion </w:t>
      </w:r>
      <w:r w:rsidR="004B2234">
        <w:t xml:space="preserve">in the below. </w:t>
      </w:r>
    </w:p>
    <w:p w14:paraId="16AFD068" w14:textId="77777777" w:rsidR="004B2234" w:rsidRDefault="004B2234" w:rsidP="004B2234"/>
    <w:p w14:paraId="71DAEF6F" w14:textId="77777777" w:rsidR="004B2234" w:rsidRDefault="004B2234">
      <w:r>
        <w:br w:type="page"/>
      </w:r>
    </w:p>
    <w:p w14:paraId="7720645D" w14:textId="31F1CE20" w:rsidR="003D34D7" w:rsidRPr="00C325DB" w:rsidRDefault="003D34D7" w:rsidP="00C325DB">
      <w:pPr>
        <w:pStyle w:val="Heading2"/>
      </w:pPr>
      <w:r w:rsidRPr="00C325DB">
        <w:lastRenderedPageBreak/>
        <w:t xml:space="preserve">Conclusion </w:t>
      </w:r>
      <w:r w:rsidR="004B2234" w:rsidRPr="00C325DB">
        <w:t xml:space="preserve">and Discussion </w:t>
      </w:r>
      <w:r w:rsidRPr="00C325DB">
        <w:t xml:space="preserve">one: </w:t>
      </w:r>
      <w:r w:rsidR="00284233" w:rsidRPr="00C325DB">
        <w:t>C</w:t>
      </w:r>
      <w:r w:rsidR="001D0D52" w:rsidRPr="00C325DB">
        <w:t>ategories</w:t>
      </w:r>
    </w:p>
    <w:p w14:paraId="30B74B7B" w14:textId="6DBBDD59" w:rsidR="004B2234" w:rsidRDefault="00830193" w:rsidP="004B2234">
      <w:r>
        <w:t>T</w:t>
      </w:r>
      <w:r w:rsidR="004B2234">
        <w:t xml:space="preserve">he figure </w:t>
      </w:r>
      <w:r>
        <w:t xml:space="preserve">1 shows the distribution between </w:t>
      </w:r>
      <w:r w:rsidR="00ED23B9">
        <w:t xml:space="preserve">the main </w:t>
      </w:r>
      <w:r>
        <w:t xml:space="preserve">applied </w:t>
      </w:r>
      <w:r w:rsidR="00ED23B9">
        <w:t xml:space="preserve">categories and </w:t>
      </w:r>
      <w:r>
        <w:t xml:space="preserve">the counts of the </w:t>
      </w:r>
      <w:r w:rsidR="00ED23B9">
        <w:t>state</w:t>
      </w:r>
      <w:r>
        <w:t>.</w:t>
      </w:r>
      <w:r w:rsidR="004B2234">
        <w:t xml:space="preserve"> </w:t>
      </w:r>
      <w:r>
        <w:t>M</w:t>
      </w:r>
      <w:r w:rsidR="00ED23B9">
        <w:t xml:space="preserve">ost applications </w:t>
      </w:r>
      <w:r w:rsidR="001D0D52">
        <w:t>were</w:t>
      </w:r>
      <w:r w:rsidR="00CA3A6E">
        <w:t xml:space="preserve"> found to</w:t>
      </w:r>
      <w:r w:rsidR="00ED23B9">
        <w:t xml:space="preserve"> focus on the “Theater”</w:t>
      </w:r>
      <w:r>
        <w:t xml:space="preserve"> category</w:t>
      </w:r>
      <w:r w:rsidR="00ED23B9">
        <w:t xml:space="preserve">. And top three absolute successful </w:t>
      </w:r>
      <w:r w:rsidR="001D0D52">
        <w:t>state</w:t>
      </w:r>
      <w:r w:rsidR="00ED23B9">
        <w:t xml:space="preserve"> counts are in the catalog “theater”, “music”, and “film &amp; video”.</w:t>
      </w:r>
      <w:r w:rsidR="0014431D">
        <w:t xml:space="preserve"> Moreover, the category “journalism” has not </w:t>
      </w:r>
      <w:r w:rsidR="001D0D52">
        <w:t>developed</w:t>
      </w:r>
      <w:r w:rsidR="0014431D">
        <w:t xml:space="preserve"> their best way to utilize</w:t>
      </w:r>
      <w:r w:rsidR="001D0D52">
        <w:t xml:space="preserve"> or </w:t>
      </w:r>
      <w:r>
        <w:t>is not</w:t>
      </w:r>
      <w:r w:rsidR="001D0D52">
        <w:t xml:space="preserve"> suitable with</w:t>
      </w:r>
      <w:r w:rsidR="0014431D">
        <w:t xml:space="preserve"> Kickstarter’s platform </w:t>
      </w:r>
      <w:r w:rsidR="00672A5D">
        <w:t>based on</w:t>
      </w:r>
      <w:r w:rsidR="0014431D">
        <w:t xml:space="preserve"> </w:t>
      </w:r>
      <w:r w:rsidR="00CA3A6E">
        <w:t>it</w:t>
      </w:r>
      <w:r w:rsidR="00672A5D">
        <w:t xml:space="preserve">s few application and </w:t>
      </w:r>
      <w:r w:rsidR="00672A5D">
        <w:t>unsuccessful</w:t>
      </w:r>
      <w:r w:rsidR="00672A5D">
        <w:t xml:space="preserve"> states</w:t>
      </w:r>
      <w:r w:rsidR="0014431D">
        <w:t>.</w:t>
      </w:r>
    </w:p>
    <w:p w14:paraId="494D9B29" w14:textId="77777777" w:rsidR="008C42C9" w:rsidRDefault="003D34D7" w:rsidP="008C42C9">
      <w:pPr>
        <w:keepNext/>
      </w:pPr>
      <w:r>
        <w:rPr>
          <w:noProof/>
        </w:rPr>
        <w:drawing>
          <wp:inline distT="0" distB="0" distL="0" distR="0" wp14:anchorId="11209A53" wp14:editId="7CBFDFED">
            <wp:extent cx="4114800" cy="2011680"/>
            <wp:effectExtent l="0" t="0" r="0" b="762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4800" cy="2011680"/>
                    </a:xfrm>
                    <a:prstGeom prst="rect">
                      <a:avLst/>
                    </a:prstGeom>
                    <a:noFill/>
                  </pic:spPr>
                </pic:pic>
              </a:graphicData>
            </a:graphic>
          </wp:inline>
        </w:drawing>
      </w:r>
    </w:p>
    <w:p w14:paraId="02D785BA" w14:textId="291D5082" w:rsidR="003D34D7" w:rsidRDefault="008C42C9" w:rsidP="008C42C9">
      <w:pPr>
        <w:pStyle w:val="Caption"/>
      </w:pPr>
      <w:r>
        <w:t xml:space="preserve">Figure </w:t>
      </w:r>
      <w:r w:rsidR="007F53A0">
        <w:rPr>
          <w:noProof/>
        </w:rPr>
        <w:fldChar w:fldCharType="begin"/>
      </w:r>
      <w:r w:rsidR="007F53A0">
        <w:rPr>
          <w:noProof/>
        </w:rPr>
        <w:instrText xml:space="preserve"> SEQ Figure \* ARABIC </w:instrText>
      </w:r>
      <w:r w:rsidR="007F53A0">
        <w:rPr>
          <w:noProof/>
        </w:rPr>
        <w:fldChar w:fldCharType="separate"/>
      </w:r>
      <w:r w:rsidR="00E91D26">
        <w:rPr>
          <w:noProof/>
        </w:rPr>
        <w:t>1</w:t>
      </w:r>
      <w:r w:rsidR="007F53A0">
        <w:rPr>
          <w:noProof/>
        </w:rPr>
        <w:fldChar w:fldCharType="end"/>
      </w:r>
      <w:r>
        <w:t xml:space="preserve"> </w:t>
      </w:r>
      <w:r w:rsidRPr="003F5947">
        <w:t xml:space="preserve">Funding Categories’ </w:t>
      </w:r>
      <w:r w:rsidR="00672A5D">
        <w:t xml:space="preserve">Counts of the </w:t>
      </w:r>
      <w:r w:rsidRPr="003F5947">
        <w:t>State</w:t>
      </w:r>
      <w:r w:rsidR="00672A5D">
        <w:t>s</w:t>
      </w:r>
    </w:p>
    <w:p w14:paraId="147BF5B7" w14:textId="0A5E881A" w:rsidR="003D34D7" w:rsidRDefault="00672A5D" w:rsidP="004B2234">
      <w:r>
        <w:t>By expanding into the</w:t>
      </w:r>
      <w:r w:rsidR="005150EE">
        <w:t xml:space="preserve"> subcategor</w:t>
      </w:r>
      <w:r>
        <w:t>ies’ counts of the</w:t>
      </w:r>
      <w:r w:rsidR="005150EE">
        <w:t xml:space="preserve"> state</w:t>
      </w:r>
      <w:r>
        <w:t xml:space="preserve"> in the Figure 2</w:t>
      </w:r>
      <w:r w:rsidR="005150EE">
        <w:t>, the “plays” dominate</w:t>
      </w:r>
      <w:r w:rsidR="001D0D52">
        <w:t>d</w:t>
      </w:r>
      <w:r w:rsidR="005150EE">
        <w:t xml:space="preserve"> the application and the absolute successful state counts</w:t>
      </w:r>
      <w:r w:rsidR="001D0D52">
        <w:t xml:space="preserve">, which followed </w:t>
      </w:r>
      <w:r>
        <w:t>the above finding from its main</w:t>
      </w:r>
      <w:r w:rsidR="001D0D52">
        <w:t xml:space="preserve"> category “theater”</w:t>
      </w:r>
      <w:r w:rsidR="005150EE">
        <w:t xml:space="preserve">. </w:t>
      </w:r>
      <w:r>
        <w:t>The</w:t>
      </w:r>
      <w:r w:rsidR="001D0D52">
        <w:t xml:space="preserve"> results</w:t>
      </w:r>
      <w:r>
        <w:t xml:space="preserve"> also</w:t>
      </w:r>
      <w:r w:rsidR="001D0D52">
        <w:t xml:space="preserve"> show that high successful possibilities are in “Rock”, “Hardware”, “Documentary”, and “Indie Rock” subcategories</w:t>
      </w:r>
      <w:r>
        <w:t>,</w:t>
      </w:r>
      <w:r w:rsidR="001D0D52">
        <w:t xml:space="preserve"> while high failure possibilities are in “animation”, “drama”, “fictions”, “food trucks”, and several other subcategories. </w:t>
      </w:r>
    </w:p>
    <w:p w14:paraId="3B16394B" w14:textId="77777777" w:rsidR="008C42C9" w:rsidRDefault="003D34D7" w:rsidP="008C42C9">
      <w:pPr>
        <w:keepNext/>
      </w:pPr>
      <w:r>
        <w:rPr>
          <w:noProof/>
        </w:rPr>
        <w:drawing>
          <wp:inline distT="0" distB="0" distL="0" distR="0" wp14:anchorId="17F49C79" wp14:editId="0DD3FBF7">
            <wp:extent cx="4114800" cy="2011680"/>
            <wp:effectExtent l="0" t="0" r="0" b="762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2011680"/>
                    </a:xfrm>
                    <a:prstGeom prst="rect">
                      <a:avLst/>
                    </a:prstGeom>
                    <a:noFill/>
                  </pic:spPr>
                </pic:pic>
              </a:graphicData>
            </a:graphic>
          </wp:inline>
        </w:drawing>
      </w:r>
    </w:p>
    <w:p w14:paraId="728E235A" w14:textId="55DE6AC4" w:rsidR="003D34D7" w:rsidRDefault="008C42C9" w:rsidP="008C42C9">
      <w:pPr>
        <w:pStyle w:val="Caption"/>
      </w:pPr>
      <w:r>
        <w:t xml:space="preserve">Figure </w:t>
      </w:r>
      <w:r w:rsidR="007F53A0">
        <w:rPr>
          <w:noProof/>
        </w:rPr>
        <w:fldChar w:fldCharType="begin"/>
      </w:r>
      <w:r w:rsidR="007F53A0">
        <w:rPr>
          <w:noProof/>
        </w:rPr>
        <w:instrText xml:space="preserve"> SEQ Figure \* ARABIC </w:instrText>
      </w:r>
      <w:r w:rsidR="007F53A0">
        <w:rPr>
          <w:noProof/>
        </w:rPr>
        <w:fldChar w:fldCharType="separate"/>
      </w:r>
      <w:r w:rsidR="00E91D26">
        <w:rPr>
          <w:noProof/>
        </w:rPr>
        <w:t>2</w:t>
      </w:r>
      <w:r w:rsidR="007F53A0">
        <w:rPr>
          <w:noProof/>
        </w:rPr>
        <w:fldChar w:fldCharType="end"/>
      </w:r>
      <w:r>
        <w:t xml:space="preserve"> </w:t>
      </w:r>
      <w:r w:rsidRPr="00225DE8">
        <w:t xml:space="preserve">Funding Sub-Categories’ </w:t>
      </w:r>
      <w:r w:rsidR="00672A5D">
        <w:t xml:space="preserve">Counts of the </w:t>
      </w:r>
      <w:r w:rsidR="00672A5D" w:rsidRPr="003F5947">
        <w:t>State</w:t>
      </w:r>
      <w:r w:rsidR="00672A5D">
        <w:t>s</w:t>
      </w:r>
    </w:p>
    <w:p w14:paraId="5E598AE3" w14:textId="3A7D1A65" w:rsidR="003D34D7" w:rsidRDefault="00284233" w:rsidP="004B2234">
      <w:r>
        <w:t xml:space="preserve">The discussion </w:t>
      </w:r>
      <w:r w:rsidR="00554868">
        <w:t xml:space="preserve">from all categories’ </w:t>
      </w:r>
      <w:r w:rsidR="00554868">
        <w:t>point of view</w:t>
      </w:r>
      <w:r w:rsidR="00554868">
        <w:t xml:space="preserve"> </w:t>
      </w:r>
      <w:r>
        <w:t>is generic</w:t>
      </w:r>
      <w:r w:rsidR="00554868">
        <w:t>. It may</w:t>
      </w:r>
      <w:r w:rsidR="003B7535">
        <w:t xml:space="preserve"> not</w:t>
      </w:r>
      <w:r w:rsidR="00554868">
        <w:t xml:space="preserve"> be</w:t>
      </w:r>
      <w:r w:rsidR="003B7535">
        <w:t xml:space="preserve"> helpful </w:t>
      </w:r>
      <w:r>
        <w:t xml:space="preserve">for the potential project creators </w:t>
      </w:r>
      <w:r w:rsidR="00554868">
        <w:t>since</w:t>
      </w:r>
      <w:r>
        <w:t xml:space="preserve"> they </w:t>
      </w:r>
      <w:r w:rsidR="00554868">
        <w:t>will be</w:t>
      </w:r>
      <w:r>
        <w:t xml:space="preserve"> in </w:t>
      </w:r>
      <w:r w:rsidR="00554868">
        <w:t>a specific field.</w:t>
      </w:r>
      <w:r>
        <w:t xml:space="preserve"> </w:t>
      </w:r>
      <w:r w:rsidR="00554868">
        <w:t>I</w:t>
      </w:r>
      <w:r w:rsidR="00554868">
        <w:t>n the above figures</w:t>
      </w:r>
      <w:r w:rsidR="00554868">
        <w:t xml:space="preserve"> </w:t>
      </w:r>
      <w:r>
        <w:t>how successful the historical application</w:t>
      </w:r>
      <w:r w:rsidR="00E77ED5">
        <w:t>s are implicit</w:t>
      </w:r>
      <w:r w:rsidR="00554868">
        <w:t xml:space="preserve"> and blended in with unrelated directions</w:t>
      </w:r>
      <w:r w:rsidR="00E77ED5">
        <w:t xml:space="preserve">. </w:t>
      </w:r>
      <w:r w:rsidR="003B7535">
        <w:t xml:space="preserve">Because of it, </w:t>
      </w:r>
      <w:r w:rsidR="00B41B39">
        <w:t>the</w:t>
      </w:r>
      <w:r w:rsidR="003B7535">
        <w:t xml:space="preserve"> successful ratio </w:t>
      </w:r>
      <w:r w:rsidR="00B41B39">
        <w:t>of the total state</w:t>
      </w:r>
      <w:r w:rsidR="00554868">
        <w:t xml:space="preserve"> in different subcategories</w:t>
      </w:r>
      <w:r w:rsidR="00B41B39">
        <w:t xml:space="preserve"> </w:t>
      </w:r>
      <w:r w:rsidR="00554868">
        <w:t>should be</w:t>
      </w:r>
      <w:r w:rsidR="00B41B39">
        <w:t xml:space="preserve"> </w:t>
      </w:r>
      <w:r w:rsidR="00554868">
        <w:t xml:space="preserve">studied. The below are </w:t>
      </w:r>
      <w:r w:rsidR="00320DAD">
        <w:t xml:space="preserve">the two </w:t>
      </w:r>
      <w:r w:rsidR="00554868">
        <w:t xml:space="preserve">interesting </w:t>
      </w:r>
      <w:r w:rsidR="00320DAD">
        <w:t xml:space="preserve">examples. </w:t>
      </w:r>
    </w:p>
    <w:p w14:paraId="1BFCC14D" w14:textId="3C7654EC" w:rsidR="00320DAD" w:rsidRDefault="00320DAD" w:rsidP="004B2234">
      <w:r>
        <w:lastRenderedPageBreak/>
        <w:t>Music in the main category plot shows a high successful possibility. But by reviewing within the catalog with successful ratio as the Figure 3, the musician</w:t>
      </w:r>
      <w:r w:rsidR="00554868">
        <w:t>s</w:t>
      </w:r>
      <w:r>
        <w:t xml:space="preserve"> in the “faith”, “jazz”, and “world music” may want to </w:t>
      </w:r>
      <w:r w:rsidR="00554868">
        <w:t>reconsider to use Kickstarter for the fund raise</w:t>
      </w:r>
      <w:r>
        <w:t>. Meanwhile, musicians in other subcategories can directly refer to the historical template</w:t>
      </w:r>
      <w:r w:rsidR="00C325DB">
        <w:t>s</w:t>
      </w:r>
      <w:r>
        <w:t xml:space="preserve"> from other artist to reach a promising</w:t>
      </w:r>
      <w:r w:rsidR="00554868">
        <w:t>ly</w:t>
      </w:r>
      <w:r>
        <w:t xml:space="preserve"> successful </w:t>
      </w:r>
      <w:r w:rsidR="00C325DB">
        <w:t xml:space="preserve">funding </w:t>
      </w:r>
      <w:r w:rsidR="00C325DB" w:rsidRPr="00C325DB">
        <w:t>campaign</w:t>
      </w:r>
      <w:r w:rsidR="00C325DB">
        <w:t>.</w:t>
      </w:r>
    </w:p>
    <w:p w14:paraId="33F233AF" w14:textId="77777777" w:rsidR="008C42C9" w:rsidRDefault="00C325DB" w:rsidP="008C42C9">
      <w:pPr>
        <w:keepNext/>
      </w:pPr>
      <w:r>
        <w:rPr>
          <w:noProof/>
        </w:rPr>
        <w:drawing>
          <wp:inline distT="0" distB="0" distL="0" distR="0" wp14:anchorId="0F6B15E7" wp14:editId="10595245">
            <wp:extent cx="4127500" cy="202374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7500" cy="2023745"/>
                    </a:xfrm>
                    <a:prstGeom prst="rect">
                      <a:avLst/>
                    </a:prstGeom>
                    <a:noFill/>
                  </pic:spPr>
                </pic:pic>
              </a:graphicData>
            </a:graphic>
          </wp:inline>
        </w:drawing>
      </w:r>
    </w:p>
    <w:p w14:paraId="2115867E" w14:textId="24BC27E6" w:rsidR="00320DAD" w:rsidRDefault="008C42C9" w:rsidP="008C42C9">
      <w:pPr>
        <w:pStyle w:val="Caption"/>
      </w:pPr>
      <w:r>
        <w:t xml:space="preserve">Figure </w:t>
      </w:r>
      <w:r w:rsidR="007F53A0">
        <w:rPr>
          <w:noProof/>
        </w:rPr>
        <w:fldChar w:fldCharType="begin"/>
      </w:r>
      <w:r w:rsidR="007F53A0">
        <w:rPr>
          <w:noProof/>
        </w:rPr>
        <w:instrText xml:space="preserve"> SEQ Figure \* ARABIC </w:instrText>
      </w:r>
      <w:r w:rsidR="007F53A0">
        <w:rPr>
          <w:noProof/>
        </w:rPr>
        <w:fldChar w:fldCharType="separate"/>
      </w:r>
      <w:r w:rsidR="00E91D26">
        <w:rPr>
          <w:noProof/>
        </w:rPr>
        <w:t>3</w:t>
      </w:r>
      <w:r w:rsidR="007F53A0">
        <w:rPr>
          <w:noProof/>
        </w:rPr>
        <w:fldChar w:fldCharType="end"/>
      </w:r>
      <w:r>
        <w:t xml:space="preserve"> </w:t>
      </w:r>
      <w:r w:rsidRPr="008714B7">
        <w:t>Successful Ratio of Sub-Categories’ State in Music Category</w:t>
      </w:r>
    </w:p>
    <w:p w14:paraId="00DBDAA3" w14:textId="44D1D12F" w:rsidR="00C325DB" w:rsidRDefault="00C325DB" w:rsidP="004B2234">
      <w:r>
        <w:t xml:space="preserve">Food </w:t>
      </w:r>
      <w:r w:rsidRPr="00C325DB">
        <w:t xml:space="preserve">in the main category plot </w:t>
      </w:r>
      <w:r>
        <w:t xml:space="preserve">presents a </w:t>
      </w:r>
      <w:r w:rsidRPr="00C325DB">
        <w:t xml:space="preserve">discouraging </w:t>
      </w:r>
      <w:r>
        <w:t>result in Figure 1</w:t>
      </w:r>
      <w:r w:rsidRPr="00C325DB">
        <w:t>.</w:t>
      </w:r>
      <w:r>
        <w:t xml:space="preserve"> However, by looking into the successful ratio in</w:t>
      </w:r>
      <w:r w:rsidR="00637637">
        <w:t>to the subcategory as</w:t>
      </w:r>
      <w:r>
        <w:t xml:space="preserve"> the Figure 4. The small batch type of food campaign shows 100% successful or live status. While the food trucks and restaurants creators can only take the previous examples as the failure lessons. </w:t>
      </w:r>
    </w:p>
    <w:p w14:paraId="3E10C832" w14:textId="77777777" w:rsidR="008C42C9" w:rsidRDefault="00C325DB" w:rsidP="008C42C9">
      <w:pPr>
        <w:keepNext/>
      </w:pPr>
      <w:r>
        <w:rPr>
          <w:noProof/>
        </w:rPr>
        <w:drawing>
          <wp:inline distT="0" distB="0" distL="0" distR="0" wp14:anchorId="4580DD8B" wp14:editId="5EEAEED4">
            <wp:extent cx="4127500" cy="202374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7500" cy="2023745"/>
                    </a:xfrm>
                    <a:prstGeom prst="rect">
                      <a:avLst/>
                    </a:prstGeom>
                    <a:noFill/>
                  </pic:spPr>
                </pic:pic>
              </a:graphicData>
            </a:graphic>
          </wp:inline>
        </w:drawing>
      </w:r>
    </w:p>
    <w:p w14:paraId="19CF4630" w14:textId="2AF6199C" w:rsidR="00C325DB" w:rsidRDefault="008C42C9" w:rsidP="008C42C9">
      <w:pPr>
        <w:pStyle w:val="Caption"/>
      </w:pPr>
      <w:r>
        <w:t xml:space="preserve">Figure </w:t>
      </w:r>
      <w:r w:rsidR="007F53A0">
        <w:rPr>
          <w:noProof/>
        </w:rPr>
        <w:fldChar w:fldCharType="begin"/>
      </w:r>
      <w:r w:rsidR="007F53A0">
        <w:rPr>
          <w:noProof/>
        </w:rPr>
        <w:instrText xml:space="preserve"> SEQ Figure \* ARABIC </w:instrText>
      </w:r>
      <w:r w:rsidR="007F53A0">
        <w:rPr>
          <w:noProof/>
        </w:rPr>
        <w:fldChar w:fldCharType="separate"/>
      </w:r>
      <w:r w:rsidR="00E91D26">
        <w:rPr>
          <w:noProof/>
        </w:rPr>
        <w:t>4</w:t>
      </w:r>
      <w:r w:rsidR="007F53A0">
        <w:rPr>
          <w:noProof/>
        </w:rPr>
        <w:fldChar w:fldCharType="end"/>
      </w:r>
      <w:r>
        <w:t xml:space="preserve"> </w:t>
      </w:r>
      <w:r w:rsidRPr="00BC3B4F">
        <w:t xml:space="preserve">Successful Ratio of Sub-Categories’ State in </w:t>
      </w:r>
      <w:r>
        <w:t xml:space="preserve">Food </w:t>
      </w:r>
      <w:r w:rsidRPr="00BC3B4F">
        <w:t>Category</w:t>
      </w:r>
    </w:p>
    <w:p w14:paraId="248718D1" w14:textId="3B47751D" w:rsidR="008C42C9" w:rsidRDefault="008C42C9">
      <w:r>
        <w:br w:type="page"/>
      </w:r>
    </w:p>
    <w:p w14:paraId="119EE574" w14:textId="53EF09C1" w:rsidR="008C42C9" w:rsidRPr="00C325DB" w:rsidRDefault="008C42C9" w:rsidP="008C42C9">
      <w:pPr>
        <w:pStyle w:val="Heading2"/>
      </w:pPr>
      <w:r w:rsidRPr="00C325DB">
        <w:lastRenderedPageBreak/>
        <w:t xml:space="preserve">Conclusion and Discussion </w:t>
      </w:r>
      <w:r w:rsidR="004D1069">
        <w:t>Two</w:t>
      </w:r>
      <w:r w:rsidRPr="00C325DB">
        <w:t xml:space="preserve">: </w:t>
      </w:r>
      <w:r>
        <w:t>Dates</w:t>
      </w:r>
    </w:p>
    <w:p w14:paraId="17D53EAD" w14:textId="31871294" w:rsidR="008C42C9" w:rsidRDefault="00637637" w:rsidP="008C42C9">
      <w:r>
        <w:t>T</w:t>
      </w:r>
      <w:r w:rsidR="008C42C9">
        <w:t xml:space="preserve">he figure </w:t>
      </w:r>
      <w:r w:rsidR="00A738DE">
        <w:t xml:space="preserve">5 </w:t>
      </w:r>
      <w:r>
        <w:t>below shows the relationship between t</w:t>
      </w:r>
      <w:r w:rsidRPr="00637637">
        <w:t xml:space="preserve">he </w:t>
      </w:r>
      <w:r>
        <w:t>m</w:t>
      </w:r>
      <w:r w:rsidRPr="00637637">
        <w:t>onth</w:t>
      </w:r>
      <w:r>
        <w:t xml:space="preserve"> of the c</w:t>
      </w:r>
      <w:r w:rsidRPr="00637637">
        <w:t xml:space="preserve">reated </w:t>
      </w:r>
      <w:r>
        <w:t>c</w:t>
      </w:r>
      <w:r w:rsidRPr="00637637">
        <w:t xml:space="preserve">onversion and the </w:t>
      </w:r>
      <w:r>
        <w:t>c</w:t>
      </w:r>
      <w:r w:rsidRPr="00637637">
        <w:t xml:space="preserve">ounts of the </w:t>
      </w:r>
      <w:r>
        <w:t>s</w:t>
      </w:r>
      <w:r w:rsidRPr="00637637">
        <w:t>tate</w:t>
      </w:r>
      <w:r>
        <w:t>. T</w:t>
      </w:r>
      <w:r w:rsidR="00A738DE">
        <w:t xml:space="preserve">he canceled </w:t>
      </w:r>
      <w:r>
        <w:t>campaigns</w:t>
      </w:r>
      <w:r w:rsidR="00A738DE">
        <w:t xml:space="preserve"> sho</w:t>
      </w:r>
      <w:r w:rsidR="000E7908">
        <w:t>w</w:t>
      </w:r>
      <w:r w:rsidR="00A738DE">
        <w:t xml:space="preserve"> a very stable trend</w:t>
      </w:r>
      <w:r w:rsidR="000E7908">
        <w:t xml:space="preserve"> while the successful </w:t>
      </w:r>
      <w:r>
        <w:t xml:space="preserve">campaigns </w:t>
      </w:r>
      <w:r w:rsidR="000E7908">
        <w:t>seem to be more dynamics</w:t>
      </w:r>
      <w:r w:rsidR="00971892">
        <w:t xml:space="preserve"> through the whole year. December is the only month when the successful </w:t>
      </w:r>
      <w:r>
        <w:t xml:space="preserve">campaigns </w:t>
      </w:r>
      <w:r w:rsidR="00971892">
        <w:t xml:space="preserve">are less than the failed </w:t>
      </w:r>
      <w:r>
        <w:t>campaigns</w:t>
      </w:r>
      <w:r w:rsidR="00971892">
        <w:t xml:space="preserve">, which the creators </w:t>
      </w:r>
      <w:r>
        <w:t>may</w:t>
      </w:r>
      <w:r w:rsidR="00971892">
        <w:t xml:space="preserve"> consider avoiding it. </w:t>
      </w:r>
    </w:p>
    <w:p w14:paraId="31461263" w14:textId="77777777" w:rsidR="008C42C9" w:rsidRDefault="008C42C9" w:rsidP="008C42C9">
      <w:pPr>
        <w:keepNext/>
      </w:pPr>
      <w:r>
        <w:rPr>
          <w:noProof/>
        </w:rPr>
        <w:drawing>
          <wp:inline distT="0" distB="0" distL="0" distR="0" wp14:anchorId="5DBB4A4A" wp14:editId="262D48B6">
            <wp:extent cx="4114800" cy="2013094"/>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013094"/>
                    </a:xfrm>
                    <a:prstGeom prst="rect">
                      <a:avLst/>
                    </a:prstGeom>
                    <a:noFill/>
                  </pic:spPr>
                </pic:pic>
              </a:graphicData>
            </a:graphic>
          </wp:inline>
        </w:drawing>
      </w:r>
    </w:p>
    <w:p w14:paraId="30BF5C4E" w14:textId="1B6D0C39" w:rsidR="008C42C9" w:rsidRDefault="008C42C9" w:rsidP="008C42C9">
      <w:pPr>
        <w:pStyle w:val="Caption"/>
      </w:pPr>
      <w:r>
        <w:t xml:space="preserve">Figure </w:t>
      </w:r>
      <w:r w:rsidR="007F53A0">
        <w:rPr>
          <w:noProof/>
        </w:rPr>
        <w:fldChar w:fldCharType="begin"/>
      </w:r>
      <w:r w:rsidR="007F53A0">
        <w:rPr>
          <w:noProof/>
        </w:rPr>
        <w:instrText xml:space="preserve"> S</w:instrText>
      </w:r>
      <w:r w:rsidR="007F53A0">
        <w:rPr>
          <w:noProof/>
        </w:rPr>
        <w:instrText xml:space="preserve">EQ Figure \* ARABIC </w:instrText>
      </w:r>
      <w:r w:rsidR="007F53A0">
        <w:rPr>
          <w:noProof/>
        </w:rPr>
        <w:fldChar w:fldCharType="separate"/>
      </w:r>
      <w:r w:rsidR="00E91D26">
        <w:rPr>
          <w:noProof/>
        </w:rPr>
        <w:t>5</w:t>
      </w:r>
      <w:r w:rsidR="007F53A0">
        <w:rPr>
          <w:noProof/>
        </w:rPr>
        <w:fldChar w:fldCharType="end"/>
      </w:r>
      <w:r>
        <w:t xml:space="preserve"> The </w:t>
      </w:r>
      <w:r w:rsidR="00A738DE">
        <w:t>Month</w:t>
      </w:r>
      <w:r w:rsidR="00A738DE" w:rsidRPr="00A738DE">
        <w:t xml:space="preserve"> Created Conversion</w:t>
      </w:r>
      <w:r>
        <w:t xml:space="preserve"> and </w:t>
      </w:r>
      <w:r w:rsidR="00A738DE">
        <w:t xml:space="preserve">the </w:t>
      </w:r>
      <w:r w:rsidR="00637637">
        <w:t xml:space="preserve">Counts of the </w:t>
      </w:r>
      <w:r w:rsidR="00A738DE">
        <w:t>State</w:t>
      </w:r>
    </w:p>
    <w:p w14:paraId="6DD20D81" w14:textId="0C397A8A" w:rsidR="008C42C9" w:rsidRDefault="00971892" w:rsidP="008C42C9">
      <w:r>
        <w:t xml:space="preserve">Another interesting data is the time frame </w:t>
      </w:r>
      <w:r w:rsidR="00637637">
        <w:t xml:space="preserve">that </w:t>
      </w:r>
      <w:r>
        <w:t xml:space="preserve">the previous projects had picked for the campaign. From figure </w:t>
      </w:r>
      <w:r w:rsidR="00282A3E">
        <w:t xml:space="preserve">6, most of the pervious applications were favorable to set the funding campaign period around the one month or two-month period. However, from a successful ratio point of view, picking up </w:t>
      </w:r>
      <w:r w:rsidR="00637637">
        <w:t>the</w:t>
      </w:r>
      <w:r w:rsidR="00282A3E">
        <w:t xml:space="preserve"> exact one month </w:t>
      </w:r>
      <w:r w:rsidR="00FF3534">
        <w:t>or</w:t>
      </w:r>
      <w:r w:rsidR="00282A3E">
        <w:t xml:space="preserve"> two</w:t>
      </w:r>
      <w:r w:rsidR="00E35A8A">
        <w:t>-</w:t>
      </w:r>
      <w:r w:rsidR="00282A3E">
        <w:t xml:space="preserve">month </w:t>
      </w:r>
      <w:r w:rsidR="00E35A8A">
        <w:t xml:space="preserve">periods </w:t>
      </w:r>
      <w:r w:rsidR="00FF3534">
        <w:t xml:space="preserve">is </w:t>
      </w:r>
      <w:r w:rsidR="00E35A8A">
        <w:t xml:space="preserve">all below the average </w:t>
      </w:r>
      <w:r w:rsidR="00637637">
        <w:t>s</w:t>
      </w:r>
      <w:r w:rsidR="00E35A8A">
        <w:t>uccessful ratio</w:t>
      </w:r>
      <w:r w:rsidR="00FF3534">
        <w:t xml:space="preserve"> </w:t>
      </w:r>
      <w:r w:rsidR="00637637">
        <w:t xml:space="preserve">(around 53%) </w:t>
      </w:r>
      <w:r w:rsidR="00FF3534">
        <w:t xml:space="preserve">as the red line </w:t>
      </w:r>
      <w:r w:rsidR="00637637">
        <w:t xml:space="preserve">presented </w:t>
      </w:r>
      <w:r w:rsidR="00FF3534">
        <w:t>in figure 7</w:t>
      </w:r>
      <w:r w:rsidR="00E35A8A">
        <w:t>, epically at the two-month period. It may indicate the creator</w:t>
      </w:r>
      <w:r w:rsidR="00637637">
        <w:t>s</w:t>
      </w:r>
      <w:r w:rsidR="00E35A8A">
        <w:t xml:space="preserve"> with </w:t>
      </w:r>
      <w:r w:rsidR="00637637">
        <w:t xml:space="preserve">a better </w:t>
      </w:r>
      <w:r w:rsidR="00E35A8A">
        <w:t xml:space="preserve">time frame </w:t>
      </w:r>
      <w:r w:rsidR="00637637">
        <w:t xml:space="preserve">idea </w:t>
      </w:r>
      <w:r w:rsidR="00E35A8A">
        <w:t xml:space="preserve">had a </w:t>
      </w:r>
      <w:r w:rsidR="00637637">
        <w:t>clear</w:t>
      </w:r>
      <w:r w:rsidR="00E35A8A">
        <w:t xml:space="preserve"> plan or</w:t>
      </w:r>
      <w:r w:rsidR="00637637">
        <w:t xml:space="preserve"> a</w:t>
      </w:r>
      <w:r w:rsidR="00E35A8A">
        <w:t xml:space="preserve"> keen motivation comparing the most creators using a </w:t>
      </w:r>
      <w:r w:rsidR="00637637">
        <w:t>“lazy”</w:t>
      </w:r>
      <w:r w:rsidR="00E35A8A">
        <w:t xml:space="preserve"> one-month or two-month estimates. </w:t>
      </w:r>
    </w:p>
    <w:p w14:paraId="6EA44DA2" w14:textId="74DBD6CB" w:rsidR="00282A3E" w:rsidRDefault="00282A3E" w:rsidP="00282A3E">
      <w:pPr>
        <w:keepNext/>
      </w:pPr>
      <w:r>
        <w:rPr>
          <w:noProof/>
        </w:rPr>
        <w:drawing>
          <wp:inline distT="0" distB="0" distL="0" distR="0" wp14:anchorId="1DE7CA43" wp14:editId="065A7B71">
            <wp:extent cx="4114800" cy="2017480"/>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2017480"/>
                    </a:xfrm>
                    <a:prstGeom prst="rect">
                      <a:avLst/>
                    </a:prstGeom>
                    <a:noFill/>
                  </pic:spPr>
                </pic:pic>
              </a:graphicData>
            </a:graphic>
          </wp:inline>
        </w:drawing>
      </w:r>
    </w:p>
    <w:p w14:paraId="1767894F" w14:textId="35879881" w:rsidR="008228F4" w:rsidRDefault="00282A3E" w:rsidP="00282A3E">
      <w:pPr>
        <w:pStyle w:val="Caption"/>
      </w:pPr>
      <w:r>
        <w:t xml:space="preserve">Figure </w:t>
      </w:r>
      <w:r w:rsidR="007F53A0">
        <w:rPr>
          <w:noProof/>
        </w:rPr>
        <w:fldChar w:fldCharType="begin"/>
      </w:r>
      <w:r w:rsidR="007F53A0">
        <w:rPr>
          <w:noProof/>
        </w:rPr>
        <w:instrText xml:space="preserve"> SEQ Figure \* ARABIC </w:instrText>
      </w:r>
      <w:r w:rsidR="007F53A0">
        <w:rPr>
          <w:noProof/>
        </w:rPr>
        <w:fldChar w:fldCharType="separate"/>
      </w:r>
      <w:r w:rsidR="00E91D26">
        <w:rPr>
          <w:noProof/>
        </w:rPr>
        <w:t>6</w:t>
      </w:r>
      <w:r w:rsidR="007F53A0">
        <w:rPr>
          <w:noProof/>
        </w:rPr>
        <w:fldChar w:fldCharType="end"/>
      </w:r>
      <w:r>
        <w:t xml:space="preserve"> The Time Frame and the Counts</w:t>
      </w:r>
      <w:r w:rsidR="00637637" w:rsidRPr="00637637">
        <w:t xml:space="preserve"> </w:t>
      </w:r>
      <w:r w:rsidR="00637637">
        <w:t xml:space="preserve">of the </w:t>
      </w:r>
      <w:r w:rsidR="00637637">
        <w:t>State</w:t>
      </w:r>
    </w:p>
    <w:p w14:paraId="05F11BA8" w14:textId="03888E78" w:rsidR="00282A3E" w:rsidRDefault="000B01E6" w:rsidP="00282A3E">
      <w:pPr>
        <w:keepNext/>
      </w:pPr>
      <w:r>
        <w:rPr>
          <w:noProof/>
        </w:rPr>
        <w:lastRenderedPageBreak/>
        <mc:AlternateContent>
          <mc:Choice Requires="wps">
            <w:drawing>
              <wp:anchor distT="0" distB="0" distL="114300" distR="114300" simplePos="0" relativeHeight="251661312" behindDoc="0" locked="0" layoutInCell="1" allowOverlap="1" wp14:anchorId="28CE39AF" wp14:editId="7D667301">
                <wp:simplePos x="0" y="0"/>
                <wp:positionH relativeFrom="column">
                  <wp:posOffset>2623820</wp:posOffset>
                </wp:positionH>
                <wp:positionV relativeFrom="paragraph">
                  <wp:posOffset>936320</wp:posOffset>
                </wp:positionV>
                <wp:extent cx="73152" cy="643738"/>
                <wp:effectExtent l="0" t="0" r="22225" b="23495"/>
                <wp:wrapNone/>
                <wp:docPr id="4" name="Rectangle 4"/>
                <wp:cNvGraphicFramePr/>
                <a:graphic xmlns:a="http://schemas.openxmlformats.org/drawingml/2006/main">
                  <a:graphicData uri="http://schemas.microsoft.com/office/word/2010/wordprocessingShape">
                    <wps:wsp>
                      <wps:cNvSpPr/>
                      <wps:spPr>
                        <a:xfrm>
                          <a:off x="0" y="0"/>
                          <a:ext cx="73152" cy="643738"/>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01363" id="Rectangle 4" o:spid="_x0000_s1026" style="position:absolute;margin-left:206.6pt;margin-top:73.75pt;width:5.75pt;height:5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" filled="f" strokecolor="#00b0f0" strokeweight="1pt"/>
            </w:pict>
          </mc:Fallback>
        </mc:AlternateContent>
      </w:r>
      <w:r w:rsidR="00637637">
        <w:rPr>
          <w:noProof/>
        </w:rPr>
        <mc:AlternateContent>
          <mc:Choice Requires="wps">
            <w:drawing>
              <wp:anchor distT="0" distB="0" distL="114300" distR="114300" simplePos="0" relativeHeight="251659264" behindDoc="0" locked="0" layoutInCell="1" allowOverlap="1" wp14:anchorId="4C9C8825" wp14:editId="73931DB2">
                <wp:simplePos x="0" y="0"/>
                <wp:positionH relativeFrom="column">
                  <wp:posOffset>1484986</wp:posOffset>
                </wp:positionH>
                <wp:positionV relativeFrom="paragraph">
                  <wp:posOffset>929030</wp:posOffset>
                </wp:positionV>
                <wp:extent cx="73152" cy="643738"/>
                <wp:effectExtent l="0" t="0" r="22225" b="23495"/>
                <wp:wrapNone/>
                <wp:docPr id="1" name="Rectangle 1"/>
                <wp:cNvGraphicFramePr/>
                <a:graphic xmlns:a="http://schemas.openxmlformats.org/drawingml/2006/main">
                  <a:graphicData uri="http://schemas.microsoft.com/office/word/2010/wordprocessingShape">
                    <wps:wsp>
                      <wps:cNvSpPr/>
                      <wps:spPr>
                        <a:xfrm>
                          <a:off x="0" y="0"/>
                          <a:ext cx="73152" cy="643738"/>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3E5421" id="Rectangle 1" o:spid="_x0000_s1026" style="position:absolute;margin-left:116.95pt;margin-top:73.15pt;width:5.75pt;height:50.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" filled="f" strokecolor="#00b0f0" strokeweight="1pt"/>
            </w:pict>
          </mc:Fallback>
        </mc:AlternateContent>
      </w:r>
      <w:r w:rsidR="00282A3E">
        <w:rPr>
          <w:noProof/>
        </w:rPr>
        <w:drawing>
          <wp:inline distT="0" distB="0" distL="0" distR="0" wp14:anchorId="58B99EE0" wp14:editId="6EA369F5">
            <wp:extent cx="4114800" cy="2017480"/>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2017480"/>
                    </a:xfrm>
                    <a:prstGeom prst="rect">
                      <a:avLst/>
                    </a:prstGeom>
                    <a:noFill/>
                  </pic:spPr>
                </pic:pic>
              </a:graphicData>
            </a:graphic>
          </wp:inline>
        </w:drawing>
      </w:r>
    </w:p>
    <w:p w14:paraId="3CB8CF67" w14:textId="7016C535" w:rsidR="00804E74" w:rsidRDefault="00282A3E" w:rsidP="00804E74">
      <w:pPr>
        <w:pStyle w:val="Caption"/>
      </w:pPr>
      <w:r>
        <w:t xml:space="preserve">Figure </w:t>
      </w:r>
      <w:r w:rsidR="007F53A0">
        <w:rPr>
          <w:noProof/>
        </w:rPr>
        <w:fldChar w:fldCharType="begin"/>
      </w:r>
      <w:r w:rsidR="007F53A0">
        <w:rPr>
          <w:noProof/>
        </w:rPr>
        <w:instrText xml:space="preserve"> SEQ Figure \* ARABIC </w:instrText>
      </w:r>
      <w:r w:rsidR="007F53A0">
        <w:rPr>
          <w:noProof/>
        </w:rPr>
        <w:fldChar w:fldCharType="separate"/>
      </w:r>
      <w:r w:rsidR="00E91D26">
        <w:rPr>
          <w:noProof/>
        </w:rPr>
        <w:t>7</w:t>
      </w:r>
      <w:r w:rsidR="007F53A0">
        <w:rPr>
          <w:noProof/>
        </w:rPr>
        <w:fldChar w:fldCharType="end"/>
      </w:r>
      <w:r>
        <w:t xml:space="preserve"> </w:t>
      </w:r>
      <w:r w:rsidRPr="00DB2E5B">
        <w:t xml:space="preserve">The Time Frame and the State </w:t>
      </w:r>
      <w:r>
        <w:t>Successful Ratio</w:t>
      </w:r>
    </w:p>
    <w:p w14:paraId="4FC7BF33" w14:textId="41FADF90" w:rsidR="008C42C9" w:rsidRPr="00C325DB" w:rsidRDefault="008C42C9" w:rsidP="008C42C9">
      <w:pPr>
        <w:pStyle w:val="Heading2"/>
      </w:pPr>
      <w:r w:rsidRPr="00C325DB">
        <w:t xml:space="preserve">Conclusion and Discussion </w:t>
      </w:r>
      <w:r w:rsidR="004D1069">
        <w:t>Three</w:t>
      </w:r>
      <w:r w:rsidRPr="00C325DB">
        <w:t xml:space="preserve">: </w:t>
      </w:r>
      <w:r>
        <w:t>Goals</w:t>
      </w:r>
    </w:p>
    <w:p w14:paraId="3CFEE497" w14:textId="7FB07855" w:rsidR="008C42C9" w:rsidRDefault="000B01E6" w:rsidP="008C42C9">
      <w:r>
        <w:t>T</w:t>
      </w:r>
      <w:r w:rsidR="00490403">
        <w:t xml:space="preserve">he numbers of </w:t>
      </w:r>
      <w:r>
        <w:t>column “</w:t>
      </w:r>
      <w:r w:rsidR="00490403">
        <w:t>goal</w:t>
      </w:r>
      <w:r>
        <w:t>”</w:t>
      </w:r>
      <w:r w:rsidR="00490403">
        <w:t xml:space="preserve"> in the dataset are converted to the USD by the below currency ratios</w:t>
      </w:r>
      <w:r w:rsidR="00CF110E">
        <w:t xml:space="preserve"> in the Table 1</w:t>
      </w:r>
      <w:r w:rsidR="00490403">
        <w:t xml:space="preserve">. </w:t>
      </w:r>
    </w:p>
    <w:p w14:paraId="7D7F5424" w14:textId="4D455B8C" w:rsidR="00490403" w:rsidRDefault="00490403" w:rsidP="00490403">
      <w:pPr>
        <w:pStyle w:val="Caption"/>
        <w:keepNext/>
      </w:pPr>
      <w:r>
        <w:t xml:space="preserve">Table </w:t>
      </w:r>
      <w:r w:rsidR="007F53A0">
        <w:rPr>
          <w:noProof/>
        </w:rPr>
        <w:fldChar w:fldCharType="begin"/>
      </w:r>
      <w:r w:rsidR="007F53A0">
        <w:rPr>
          <w:noProof/>
        </w:rPr>
        <w:instrText xml:space="preserve"> SEQ Table \* A</w:instrText>
      </w:r>
      <w:r w:rsidR="007F53A0">
        <w:rPr>
          <w:noProof/>
        </w:rPr>
        <w:instrText xml:space="preserve">RABIC </w:instrText>
      </w:r>
      <w:r w:rsidR="007F53A0">
        <w:rPr>
          <w:noProof/>
        </w:rPr>
        <w:fldChar w:fldCharType="separate"/>
      </w:r>
      <w:r w:rsidR="00CF110E">
        <w:rPr>
          <w:noProof/>
        </w:rPr>
        <w:t>1</w:t>
      </w:r>
      <w:r w:rsidR="007F53A0">
        <w:rPr>
          <w:noProof/>
        </w:rPr>
        <w:fldChar w:fldCharType="end"/>
      </w:r>
      <w:r>
        <w:t xml:space="preserve"> Currency Ratio to USD</w:t>
      </w:r>
    </w:p>
    <w:tbl>
      <w:tblPr>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tblGrid>
      <w:tr w:rsidR="00437E49" w:rsidRPr="00437E49" w14:paraId="494D8C59" w14:textId="77777777" w:rsidTr="00437E49">
        <w:trPr>
          <w:trHeight w:val="300"/>
        </w:trPr>
        <w:tc>
          <w:tcPr>
            <w:tcW w:w="960" w:type="dxa"/>
            <w:shd w:val="clear" w:color="auto" w:fill="auto"/>
            <w:noWrap/>
            <w:vAlign w:val="bottom"/>
            <w:hideMark/>
          </w:tcPr>
          <w:p w14:paraId="5F36B616" w14:textId="77777777" w:rsidR="00437E49" w:rsidRPr="00437E49" w:rsidRDefault="00437E49" w:rsidP="00437E49">
            <w:pPr>
              <w:spacing w:after="0" w:line="240" w:lineRule="auto"/>
            </w:pPr>
            <w:bookmarkStart w:id="0" w:name="RANGE!D3:E15"/>
            <w:r w:rsidRPr="00437E49">
              <w:t>AUD</w:t>
            </w:r>
            <w:bookmarkEnd w:id="0"/>
          </w:p>
        </w:tc>
        <w:tc>
          <w:tcPr>
            <w:tcW w:w="960" w:type="dxa"/>
            <w:shd w:val="clear" w:color="auto" w:fill="auto"/>
            <w:noWrap/>
            <w:vAlign w:val="bottom"/>
            <w:hideMark/>
          </w:tcPr>
          <w:p w14:paraId="50F45AD5" w14:textId="77777777" w:rsidR="00437E49" w:rsidRPr="00437E49" w:rsidRDefault="00437E49" w:rsidP="00437E49">
            <w:pPr>
              <w:spacing w:after="0" w:line="240" w:lineRule="auto"/>
              <w:jc w:val="right"/>
            </w:pPr>
            <w:r w:rsidRPr="00437E49">
              <w:t>0.72</w:t>
            </w:r>
          </w:p>
        </w:tc>
      </w:tr>
      <w:tr w:rsidR="00437E49" w:rsidRPr="00437E49" w14:paraId="4F0CA8E0" w14:textId="77777777" w:rsidTr="00437E49">
        <w:trPr>
          <w:trHeight w:val="300"/>
        </w:trPr>
        <w:tc>
          <w:tcPr>
            <w:tcW w:w="960" w:type="dxa"/>
            <w:shd w:val="clear" w:color="auto" w:fill="auto"/>
            <w:noWrap/>
            <w:vAlign w:val="bottom"/>
            <w:hideMark/>
          </w:tcPr>
          <w:p w14:paraId="3F0E0C8C" w14:textId="77777777" w:rsidR="00437E49" w:rsidRPr="00437E49" w:rsidRDefault="00437E49" w:rsidP="00437E49">
            <w:pPr>
              <w:spacing w:after="0" w:line="240" w:lineRule="auto"/>
            </w:pPr>
            <w:r w:rsidRPr="00437E49">
              <w:t>CAD</w:t>
            </w:r>
          </w:p>
        </w:tc>
        <w:tc>
          <w:tcPr>
            <w:tcW w:w="960" w:type="dxa"/>
            <w:shd w:val="clear" w:color="auto" w:fill="auto"/>
            <w:noWrap/>
            <w:vAlign w:val="bottom"/>
            <w:hideMark/>
          </w:tcPr>
          <w:p w14:paraId="19042503" w14:textId="77777777" w:rsidR="00437E49" w:rsidRPr="00437E49" w:rsidRDefault="00437E49" w:rsidP="00437E49">
            <w:pPr>
              <w:spacing w:after="0" w:line="240" w:lineRule="auto"/>
              <w:jc w:val="right"/>
            </w:pPr>
            <w:r w:rsidRPr="00437E49">
              <w:t>0.76</w:t>
            </w:r>
          </w:p>
        </w:tc>
      </w:tr>
      <w:tr w:rsidR="00437E49" w:rsidRPr="00437E49" w14:paraId="6A34D845" w14:textId="77777777" w:rsidTr="00437E49">
        <w:trPr>
          <w:trHeight w:val="300"/>
        </w:trPr>
        <w:tc>
          <w:tcPr>
            <w:tcW w:w="960" w:type="dxa"/>
            <w:shd w:val="clear" w:color="auto" w:fill="auto"/>
            <w:noWrap/>
            <w:vAlign w:val="bottom"/>
            <w:hideMark/>
          </w:tcPr>
          <w:p w14:paraId="33B76979" w14:textId="77777777" w:rsidR="00437E49" w:rsidRPr="00437E49" w:rsidRDefault="00437E49" w:rsidP="00437E49">
            <w:pPr>
              <w:spacing w:after="0" w:line="240" w:lineRule="auto"/>
            </w:pPr>
            <w:r w:rsidRPr="00437E49">
              <w:t>CHF</w:t>
            </w:r>
          </w:p>
        </w:tc>
        <w:tc>
          <w:tcPr>
            <w:tcW w:w="960" w:type="dxa"/>
            <w:shd w:val="clear" w:color="auto" w:fill="auto"/>
            <w:noWrap/>
            <w:vAlign w:val="bottom"/>
            <w:hideMark/>
          </w:tcPr>
          <w:p w14:paraId="1E562778" w14:textId="77777777" w:rsidR="00437E49" w:rsidRPr="00437E49" w:rsidRDefault="00437E49" w:rsidP="00437E49">
            <w:pPr>
              <w:spacing w:after="0" w:line="240" w:lineRule="auto"/>
              <w:jc w:val="right"/>
            </w:pPr>
            <w:r w:rsidRPr="00437E49">
              <w:t>1</w:t>
            </w:r>
          </w:p>
        </w:tc>
      </w:tr>
      <w:tr w:rsidR="00437E49" w:rsidRPr="00437E49" w14:paraId="79420915" w14:textId="77777777" w:rsidTr="00437E49">
        <w:trPr>
          <w:trHeight w:val="300"/>
        </w:trPr>
        <w:tc>
          <w:tcPr>
            <w:tcW w:w="960" w:type="dxa"/>
            <w:shd w:val="clear" w:color="auto" w:fill="auto"/>
            <w:noWrap/>
            <w:vAlign w:val="bottom"/>
            <w:hideMark/>
          </w:tcPr>
          <w:p w14:paraId="0859B952" w14:textId="77777777" w:rsidR="00437E49" w:rsidRPr="00437E49" w:rsidRDefault="00437E49" w:rsidP="00437E49">
            <w:pPr>
              <w:spacing w:after="0" w:line="240" w:lineRule="auto"/>
            </w:pPr>
            <w:r w:rsidRPr="00437E49">
              <w:t>DKK</w:t>
            </w:r>
          </w:p>
        </w:tc>
        <w:tc>
          <w:tcPr>
            <w:tcW w:w="960" w:type="dxa"/>
            <w:shd w:val="clear" w:color="auto" w:fill="auto"/>
            <w:noWrap/>
            <w:vAlign w:val="bottom"/>
            <w:hideMark/>
          </w:tcPr>
          <w:p w14:paraId="752721A1" w14:textId="77777777" w:rsidR="00437E49" w:rsidRPr="00437E49" w:rsidRDefault="00437E49" w:rsidP="00437E49">
            <w:pPr>
              <w:spacing w:after="0" w:line="240" w:lineRule="auto"/>
              <w:jc w:val="right"/>
            </w:pPr>
            <w:r w:rsidRPr="00437E49">
              <w:t>0.15</w:t>
            </w:r>
          </w:p>
        </w:tc>
      </w:tr>
      <w:tr w:rsidR="00437E49" w:rsidRPr="00437E49" w14:paraId="1595D03F" w14:textId="77777777" w:rsidTr="00437E49">
        <w:trPr>
          <w:trHeight w:val="300"/>
        </w:trPr>
        <w:tc>
          <w:tcPr>
            <w:tcW w:w="960" w:type="dxa"/>
            <w:shd w:val="clear" w:color="auto" w:fill="auto"/>
            <w:noWrap/>
            <w:vAlign w:val="bottom"/>
            <w:hideMark/>
          </w:tcPr>
          <w:p w14:paraId="75636489" w14:textId="77777777" w:rsidR="00437E49" w:rsidRPr="00437E49" w:rsidRDefault="00437E49" w:rsidP="00437E49">
            <w:pPr>
              <w:spacing w:after="0" w:line="240" w:lineRule="auto"/>
            </w:pPr>
            <w:r w:rsidRPr="00437E49">
              <w:t>EUR</w:t>
            </w:r>
          </w:p>
        </w:tc>
        <w:tc>
          <w:tcPr>
            <w:tcW w:w="960" w:type="dxa"/>
            <w:shd w:val="clear" w:color="auto" w:fill="auto"/>
            <w:noWrap/>
            <w:vAlign w:val="bottom"/>
            <w:hideMark/>
          </w:tcPr>
          <w:p w14:paraId="0114C9FE" w14:textId="77777777" w:rsidR="00437E49" w:rsidRPr="00437E49" w:rsidRDefault="00437E49" w:rsidP="00437E49">
            <w:pPr>
              <w:spacing w:after="0" w:line="240" w:lineRule="auto"/>
              <w:jc w:val="right"/>
            </w:pPr>
            <w:r w:rsidRPr="00437E49">
              <w:t>1.13</w:t>
            </w:r>
          </w:p>
        </w:tc>
      </w:tr>
      <w:tr w:rsidR="00437E49" w:rsidRPr="00437E49" w14:paraId="08B8B7C7" w14:textId="77777777" w:rsidTr="00437E49">
        <w:trPr>
          <w:trHeight w:val="300"/>
        </w:trPr>
        <w:tc>
          <w:tcPr>
            <w:tcW w:w="960" w:type="dxa"/>
            <w:shd w:val="clear" w:color="auto" w:fill="auto"/>
            <w:noWrap/>
            <w:vAlign w:val="bottom"/>
            <w:hideMark/>
          </w:tcPr>
          <w:p w14:paraId="2F62B27E" w14:textId="77777777" w:rsidR="00437E49" w:rsidRPr="00437E49" w:rsidRDefault="00437E49" w:rsidP="00437E49">
            <w:pPr>
              <w:spacing w:after="0" w:line="240" w:lineRule="auto"/>
            </w:pPr>
            <w:r w:rsidRPr="00437E49">
              <w:t>GBP</w:t>
            </w:r>
          </w:p>
        </w:tc>
        <w:tc>
          <w:tcPr>
            <w:tcW w:w="960" w:type="dxa"/>
            <w:shd w:val="clear" w:color="auto" w:fill="auto"/>
            <w:noWrap/>
            <w:vAlign w:val="bottom"/>
            <w:hideMark/>
          </w:tcPr>
          <w:p w14:paraId="78665430" w14:textId="77777777" w:rsidR="00437E49" w:rsidRPr="00437E49" w:rsidRDefault="00437E49" w:rsidP="00437E49">
            <w:pPr>
              <w:spacing w:after="0" w:line="240" w:lineRule="auto"/>
              <w:jc w:val="right"/>
            </w:pPr>
            <w:r w:rsidRPr="00437E49">
              <w:t>1.28</w:t>
            </w:r>
          </w:p>
        </w:tc>
      </w:tr>
      <w:tr w:rsidR="00437E49" w:rsidRPr="00437E49" w14:paraId="0AFF0A88" w14:textId="77777777" w:rsidTr="00437E49">
        <w:trPr>
          <w:trHeight w:val="300"/>
        </w:trPr>
        <w:tc>
          <w:tcPr>
            <w:tcW w:w="960" w:type="dxa"/>
            <w:shd w:val="clear" w:color="auto" w:fill="auto"/>
            <w:noWrap/>
            <w:vAlign w:val="bottom"/>
            <w:hideMark/>
          </w:tcPr>
          <w:p w14:paraId="316F129A" w14:textId="77777777" w:rsidR="00437E49" w:rsidRPr="00437E49" w:rsidRDefault="00437E49" w:rsidP="00437E49">
            <w:pPr>
              <w:spacing w:after="0" w:line="240" w:lineRule="auto"/>
            </w:pPr>
            <w:r w:rsidRPr="00437E49">
              <w:t>HKD</w:t>
            </w:r>
          </w:p>
        </w:tc>
        <w:tc>
          <w:tcPr>
            <w:tcW w:w="960" w:type="dxa"/>
            <w:shd w:val="clear" w:color="auto" w:fill="auto"/>
            <w:noWrap/>
            <w:vAlign w:val="bottom"/>
            <w:hideMark/>
          </w:tcPr>
          <w:p w14:paraId="0D297876" w14:textId="77777777" w:rsidR="00437E49" w:rsidRPr="00437E49" w:rsidRDefault="00437E49" w:rsidP="00437E49">
            <w:pPr>
              <w:spacing w:after="0" w:line="240" w:lineRule="auto"/>
              <w:jc w:val="right"/>
            </w:pPr>
            <w:r w:rsidRPr="00437E49">
              <w:t>0.13</w:t>
            </w:r>
          </w:p>
        </w:tc>
      </w:tr>
      <w:tr w:rsidR="00437E49" w:rsidRPr="00437E49" w14:paraId="7FA88B30" w14:textId="77777777" w:rsidTr="00437E49">
        <w:trPr>
          <w:trHeight w:val="300"/>
        </w:trPr>
        <w:tc>
          <w:tcPr>
            <w:tcW w:w="960" w:type="dxa"/>
            <w:shd w:val="clear" w:color="auto" w:fill="auto"/>
            <w:noWrap/>
            <w:vAlign w:val="bottom"/>
            <w:hideMark/>
          </w:tcPr>
          <w:p w14:paraId="7543B7B4" w14:textId="77777777" w:rsidR="00437E49" w:rsidRPr="00437E49" w:rsidRDefault="00437E49" w:rsidP="00437E49">
            <w:pPr>
              <w:spacing w:after="0" w:line="240" w:lineRule="auto"/>
            </w:pPr>
            <w:r w:rsidRPr="00437E49">
              <w:t>MXN</w:t>
            </w:r>
          </w:p>
        </w:tc>
        <w:tc>
          <w:tcPr>
            <w:tcW w:w="960" w:type="dxa"/>
            <w:shd w:val="clear" w:color="auto" w:fill="auto"/>
            <w:noWrap/>
            <w:vAlign w:val="bottom"/>
            <w:hideMark/>
          </w:tcPr>
          <w:p w14:paraId="41EB6C5A" w14:textId="77777777" w:rsidR="00437E49" w:rsidRPr="00437E49" w:rsidRDefault="00437E49" w:rsidP="00437E49">
            <w:pPr>
              <w:spacing w:after="0" w:line="240" w:lineRule="auto"/>
              <w:jc w:val="right"/>
            </w:pPr>
            <w:r w:rsidRPr="00437E49">
              <w:t>0.049</w:t>
            </w:r>
          </w:p>
        </w:tc>
      </w:tr>
      <w:tr w:rsidR="00437E49" w:rsidRPr="00437E49" w14:paraId="76A76C7A" w14:textId="77777777" w:rsidTr="00437E49">
        <w:trPr>
          <w:trHeight w:val="300"/>
        </w:trPr>
        <w:tc>
          <w:tcPr>
            <w:tcW w:w="960" w:type="dxa"/>
            <w:shd w:val="clear" w:color="auto" w:fill="auto"/>
            <w:noWrap/>
            <w:vAlign w:val="bottom"/>
            <w:hideMark/>
          </w:tcPr>
          <w:p w14:paraId="7FF0B01D" w14:textId="77777777" w:rsidR="00437E49" w:rsidRPr="00437E49" w:rsidRDefault="00437E49" w:rsidP="00437E49">
            <w:pPr>
              <w:spacing w:after="0" w:line="240" w:lineRule="auto"/>
            </w:pPr>
            <w:r w:rsidRPr="00437E49">
              <w:t>NOK</w:t>
            </w:r>
          </w:p>
        </w:tc>
        <w:tc>
          <w:tcPr>
            <w:tcW w:w="960" w:type="dxa"/>
            <w:shd w:val="clear" w:color="auto" w:fill="auto"/>
            <w:noWrap/>
            <w:vAlign w:val="bottom"/>
            <w:hideMark/>
          </w:tcPr>
          <w:p w14:paraId="4FA13628" w14:textId="77777777" w:rsidR="00437E49" w:rsidRPr="00437E49" w:rsidRDefault="00437E49" w:rsidP="00437E49">
            <w:pPr>
              <w:spacing w:after="0" w:line="240" w:lineRule="auto"/>
              <w:jc w:val="right"/>
            </w:pPr>
            <w:r w:rsidRPr="00437E49">
              <w:t>0.12</w:t>
            </w:r>
          </w:p>
        </w:tc>
      </w:tr>
      <w:tr w:rsidR="00437E49" w:rsidRPr="00437E49" w14:paraId="4CE6286E" w14:textId="77777777" w:rsidTr="00437E49">
        <w:trPr>
          <w:trHeight w:val="300"/>
        </w:trPr>
        <w:tc>
          <w:tcPr>
            <w:tcW w:w="960" w:type="dxa"/>
            <w:shd w:val="clear" w:color="auto" w:fill="auto"/>
            <w:noWrap/>
            <w:vAlign w:val="bottom"/>
            <w:hideMark/>
          </w:tcPr>
          <w:p w14:paraId="0FF97D42" w14:textId="77777777" w:rsidR="00437E49" w:rsidRPr="00437E49" w:rsidRDefault="00437E49" w:rsidP="00437E49">
            <w:pPr>
              <w:spacing w:after="0" w:line="240" w:lineRule="auto"/>
            </w:pPr>
            <w:r w:rsidRPr="00437E49">
              <w:t>NZD</w:t>
            </w:r>
          </w:p>
        </w:tc>
        <w:tc>
          <w:tcPr>
            <w:tcW w:w="960" w:type="dxa"/>
            <w:shd w:val="clear" w:color="auto" w:fill="auto"/>
            <w:noWrap/>
            <w:vAlign w:val="bottom"/>
            <w:hideMark/>
          </w:tcPr>
          <w:p w14:paraId="7147070B" w14:textId="77777777" w:rsidR="00437E49" w:rsidRPr="00437E49" w:rsidRDefault="00437E49" w:rsidP="00437E49">
            <w:pPr>
              <w:spacing w:after="0" w:line="240" w:lineRule="auto"/>
              <w:jc w:val="right"/>
            </w:pPr>
            <w:r w:rsidRPr="00437E49">
              <w:t>0.68</w:t>
            </w:r>
          </w:p>
        </w:tc>
      </w:tr>
      <w:tr w:rsidR="00437E49" w:rsidRPr="00437E49" w14:paraId="78D135A7" w14:textId="77777777" w:rsidTr="00437E49">
        <w:trPr>
          <w:trHeight w:val="300"/>
        </w:trPr>
        <w:tc>
          <w:tcPr>
            <w:tcW w:w="960" w:type="dxa"/>
            <w:shd w:val="clear" w:color="auto" w:fill="auto"/>
            <w:noWrap/>
            <w:vAlign w:val="bottom"/>
            <w:hideMark/>
          </w:tcPr>
          <w:p w14:paraId="34A9F27B" w14:textId="77777777" w:rsidR="00437E49" w:rsidRPr="00437E49" w:rsidRDefault="00437E49" w:rsidP="00437E49">
            <w:pPr>
              <w:spacing w:after="0" w:line="240" w:lineRule="auto"/>
            </w:pPr>
            <w:r w:rsidRPr="00437E49">
              <w:t>SEK</w:t>
            </w:r>
          </w:p>
        </w:tc>
        <w:tc>
          <w:tcPr>
            <w:tcW w:w="960" w:type="dxa"/>
            <w:shd w:val="clear" w:color="auto" w:fill="auto"/>
            <w:noWrap/>
            <w:vAlign w:val="bottom"/>
            <w:hideMark/>
          </w:tcPr>
          <w:p w14:paraId="76C82F73" w14:textId="77777777" w:rsidR="00437E49" w:rsidRPr="00437E49" w:rsidRDefault="00437E49" w:rsidP="00437E49">
            <w:pPr>
              <w:spacing w:after="0" w:line="240" w:lineRule="auto"/>
              <w:jc w:val="right"/>
            </w:pPr>
            <w:r w:rsidRPr="00437E49">
              <w:t>0.11</w:t>
            </w:r>
          </w:p>
        </w:tc>
      </w:tr>
      <w:tr w:rsidR="00437E49" w:rsidRPr="00437E49" w14:paraId="286043BB" w14:textId="77777777" w:rsidTr="00437E49">
        <w:trPr>
          <w:trHeight w:val="300"/>
        </w:trPr>
        <w:tc>
          <w:tcPr>
            <w:tcW w:w="960" w:type="dxa"/>
            <w:shd w:val="clear" w:color="auto" w:fill="auto"/>
            <w:noWrap/>
            <w:vAlign w:val="bottom"/>
            <w:hideMark/>
          </w:tcPr>
          <w:p w14:paraId="0D0430A5" w14:textId="77777777" w:rsidR="00437E49" w:rsidRPr="00437E49" w:rsidRDefault="00437E49" w:rsidP="00437E49">
            <w:pPr>
              <w:spacing w:after="0" w:line="240" w:lineRule="auto"/>
            </w:pPr>
            <w:r w:rsidRPr="00437E49">
              <w:t>SGD</w:t>
            </w:r>
          </w:p>
        </w:tc>
        <w:tc>
          <w:tcPr>
            <w:tcW w:w="960" w:type="dxa"/>
            <w:shd w:val="clear" w:color="auto" w:fill="auto"/>
            <w:noWrap/>
            <w:vAlign w:val="bottom"/>
            <w:hideMark/>
          </w:tcPr>
          <w:p w14:paraId="74CAEFD9" w14:textId="77777777" w:rsidR="00437E49" w:rsidRPr="00437E49" w:rsidRDefault="00437E49" w:rsidP="00437E49">
            <w:pPr>
              <w:spacing w:after="0" w:line="240" w:lineRule="auto"/>
              <w:jc w:val="right"/>
            </w:pPr>
            <w:r w:rsidRPr="00437E49">
              <w:t>0.73</w:t>
            </w:r>
          </w:p>
        </w:tc>
      </w:tr>
      <w:tr w:rsidR="00437E49" w:rsidRPr="00437E49" w14:paraId="627814D3" w14:textId="77777777" w:rsidTr="00437E49">
        <w:trPr>
          <w:trHeight w:val="300"/>
        </w:trPr>
        <w:tc>
          <w:tcPr>
            <w:tcW w:w="960" w:type="dxa"/>
            <w:shd w:val="clear" w:color="auto" w:fill="auto"/>
            <w:noWrap/>
            <w:vAlign w:val="bottom"/>
            <w:hideMark/>
          </w:tcPr>
          <w:p w14:paraId="101325FE" w14:textId="77777777" w:rsidR="00437E49" w:rsidRPr="00437E49" w:rsidRDefault="00437E49" w:rsidP="00437E49">
            <w:pPr>
              <w:spacing w:after="0" w:line="240" w:lineRule="auto"/>
            </w:pPr>
            <w:r w:rsidRPr="00437E49">
              <w:t>USD</w:t>
            </w:r>
          </w:p>
        </w:tc>
        <w:tc>
          <w:tcPr>
            <w:tcW w:w="960" w:type="dxa"/>
            <w:shd w:val="clear" w:color="auto" w:fill="auto"/>
            <w:noWrap/>
            <w:vAlign w:val="bottom"/>
            <w:hideMark/>
          </w:tcPr>
          <w:p w14:paraId="49A53892" w14:textId="77777777" w:rsidR="00437E49" w:rsidRPr="00437E49" w:rsidRDefault="00437E49" w:rsidP="00437E49">
            <w:pPr>
              <w:spacing w:after="0" w:line="240" w:lineRule="auto"/>
              <w:jc w:val="right"/>
            </w:pPr>
            <w:r w:rsidRPr="00437E49">
              <w:t>1</w:t>
            </w:r>
          </w:p>
        </w:tc>
      </w:tr>
    </w:tbl>
    <w:p w14:paraId="7BEF3956" w14:textId="77777777" w:rsidR="00804E74" w:rsidRDefault="00804E74" w:rsidP="008C42C9"/>
    <w:p w14:paraId="4BB077CD" w14:textId="300555E8" w:rsidR="00437E49" w:rsidRDefault="00490403" w:rsidP="008C42C9">
      <w:r>
        <w:t xml:space="preserve">By using </w:t>
      </w:r>
      <w:proofErr w:type="spellStart"/>
      <w:r>
        <w:t>countifs</w:t>
      </w:r>
      <w:proofErr w:type="spellEnd"/>
      <w:r>
        <w:t xml:space="preserve"> function</w:t>
      </w:r>
      <w:r w:rsidR="00CF110E">
        <w:t xml:space="preserve"> in Excel</w:t>
      </w:r>
      <w:r>
        <w:t>, the table</w:t>
      </w:r>
      <w:r w:rsidR="00CF110E">
        <w:t xml:space="preserve"> 2</w:t>
      </w:r>
      <w:r>
        <w:t xml:space="preserve"> is generated</w:t>
      </w:r>
      <w:r w:rsidR="00346027">
        <w:t xml:space="preserve"> from the dataset</w:t>
      </w:r>
      <w:r>
        <w:t>.</w:t>
      </w:r>
      <w:r w:rsidR="00804E74">
        <w:t xml:space="preserve"> Based on </w:t>
      </w:r>
      <w:r w:rsidR="00346027">
        <w:t>results in</w:t>
      </w:r>
      <w:r w:rsidR="00804E74">
        <w:t xml:space="preserve"> the percentage successful, percentage failed, and percentage canceled columns in Table 2, the figure 8 shows the trends between different </w:t>
      </w:r>
      <w:r w:rsidR="00346027">
        <w:t>percentage of the state and the range of the goals. When the goal</w:t>
      </w:r>
      <w:r w:rsidR="000B01E6">
        <w:t>s</w:t>
      </w:r>
      <w:r w:rsidR="00346027">
        <w:t xml:space="preserve"> are small than the 5000 USD, the successful ratio is high and above 65%; between 5000 USD to 45000 USD the successful ratio is stable around 40% to 50%; for the goal higher than 45000 USD, the successful ratio starts to significantly decrease to </w:t>
      </w:r>
      <w:r w:rsidR="00047E59">
        <w:t xml:space="preserve">be around 20 %. </w:t>
      </w:r>
    </w:p>
    <w:p w14:paraId="127735A7" w14:textId="77777777" w:rsidR="00047E59" w:rsidRDefault="00047E59" w:rsidP="008C42C9"/>
    <w:p w14:paraId="6CB00238" w14:textId="26DBC198" w:rsidR="00CF110E" w:rsidRDefault="00CF110E" w:rsidP="00CF110E">
      <w:pPr>
        <w:pStyle w:val="Caption"/>
        <w:keepNext/>
      </w:pPr>
      <w:r>
        <w:lastRenderedPageBreak/>
        <w:t xml:space="preserve">Table </w:t>
      </w:r>
      <w:r w:rsidR="007F53A0">
        <w:rPr>
          <w:noProof/>
        </w:rPr>
        <w:fldChar w:fldCharType="begin"/>
      </w:r>
      <w:r w:rsidR="007F53A0">
        <w:rPr>
          <w:noProof/>
        </w:rPr>
        <w:instrText xml:space="preserve"> SEQ Table \* ARABIC </w:instrText>
      </w:r>
      <w:r w:rsidR="007F53A0">
        <w:rPr>
          <w:noProof/>
        </w:rPr>
        <w:fldChar w:fldCharType="separate"/>
      </w:r>
      <w:r>
        <w:rPr>
          <w:noProof/>
        </w:rPr>
        <w:t>2</w:t>
      </w:r>
      <w:r w:rsidR="007F53A0">
        <w:rPr>
          <w:noProof/>
        </w:rPr>
        <w:fldChar w:fldCharType="end"/>
      </w:r>
      <w:r>
        <w:t xml:space="preserve"> The </w:t>
      </w:r>
      <w:r w:rsidR="000B01E6">
        <w:t>Goals</w:t>
      </w:r>
      <w:r w:rsidR="000B01E6" w:rsidRPr="000B01E6">
        <w:t xml:space="preserve"> </w:t>
      </w:r>
      <w:r>
        <w:t xml:space="preserve">and The </w:t>
      </w:r>
      <w:r w:rsidR="000B01E6">
        <w:t>States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008"/>
        <w:gridCol w:w="1008"/>
        <w:gridCol w:w="1008"/>
        <w:gridCol w:w="1008"/>
        <w:gridCol w:w="1008"/>
        <w:gridCol w:w="1008"/>
        <w:gridCol w:w="1008"/>
      </w:tblGrid>
      <w:tr w:rsidR="00490403" w:rsidRPr="00490403" w14:paraId="1433DAE6" w14:textId="77777777" w:rsidTr="00CF110E">
        <w:trPr>
          <w:trHeight w:val="432"/>
        </w:trPr>
        <w:tc>
          <w:tcPr>
            <w:tcW w:w="1008" w:type="dxa"/>
            <w:shd w:val="clear" w:color="auto" w:fill="auto"/>
            <w:noWrap/>
            <w:vAlign w:val="bottom"/>
            <w:hideMark/>
          </w:tcPr>
          <w:p w14:paraId="3592ABC4" w14:textId="77777777" w:rsidR="00490403" w:rsidRPr="00490403" w:rsidRDefault="00490403" w:rsidP="00490403">
            <w:pPr>
              <w:rPr>
                <w:rFonts w:ascii="Calibri" w:hAnsi="Calibri" w:cs="Calibri"/>
                <w:color w:val="000000"/>
                <w:sz w:val="16"/>
              </w:rPr>
            </w:pPr>
          </w:p>
        </w:tc>
        <w:tc>
          <w:tcPr>
            <w:tcW w:w="1008" w:type="dxa"/>
            <w:shd w:val="clear" w:color="auto" w:fill="auto"/>
            <w:noWrap/>
            <w:vAlign w:val="bottom"/>
            <w:hideMark/>
          </w:tcPr>
          <w:p w14:paraId="56D45B90"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Number successful</w:t>
            </w:r>
          </w:p>
        </w:tc>
        <w:tc>
          <w:tcPr>
            <w:tcW w:w="1008" w:type="dxa"/>
            <w:shd w:val="clear" w:color="auto" w:fill="auto"/>
            <w:noWrap/>
            <w:vAlign w:val="bottom"/>
            <w:hideMark/>
          </w:tcPr>
          <w:p w14:paraId="2BC98997"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Number failed</w:t>
            </w:r>
          </w:p>
        </w:tc>
        <w:tc>
          <w:tcPr>
            <w:tcW w:w="1008" w:type="dxa"/>
            <w:shd w:val="clear" w:color="auto" w:fill="auto"/>
            <w:noWrap/>
            <w:vAlign w:val="bottom"/>
            <w:hideMark/>
          </w:tcPr>
          <w:p w14:paraId="6DB03D5F"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Number canceled</w:t>
            </w:r>
          </w:p>
        </w:tc>
        <w:tc>
          <w:tcPr>
            <w:tcW w:w="1008" w:type="dxa"/>
            <w:shd w:val="clear" w:color="auto" w:fill="auto"/>
            <w:noWrap/>
            <w:vAlign w:val="bottom"/>
            <w:hideMark/>
          </w:tcPr>
          <w:p w14:paraId="1D2F4559"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Total</w:t>
            </w:r>
          </w:p>
        </w:tc>
        <w:tc>
          <w:tcPr>
            <w:tcW w:w="1008" w:type="dxa"/>
            <w:shd w:val="clear" w:color="auto" w:fill="auto"/>
            <w:noWrap/>
            <w:vAlign w:val="bottom"/>
            <w:hideMark/>
          </w:tcPr>
          <w:p w14:paraId="39842719"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Percentage successful</w:t>
            </w:r>
          </w:p>
        </w:tc>
        <w:tc>
          <w:tcPr>
            <w:tcW w:w="1008" w:type="dxa"/>
            <w:shd w:val="clear" w:color="auto" w:fill="auto"/>
            <w:noWrap/>
            <w:vAlign w:val="bottom"/>
            <w:hideMark/>
          </w:tcPr>
          <w:p w14:paraId="1DDCB3AA"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Percentage failed</w:t>
            </w:r>
          </w:p>
        </w:tc>
        <w:tc>
          <w:tcPr>
            <w:tcW w:w="1008" w:type="dxa"/>
            <w:shd w:val="clear" w:color="auto" w:fill="auto"/>
            <w:noWrap/>
            <w:vAlign w:val="bottom"/>
            <w:hideMark/>
          </w:tcPr>
          <w:p w14:paraId="36E54279"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Percentage canceled</w:t>
            </w:r>
          </w:p>
        </w:tc>
      </w:tr>
      <w:tr w:rsidR="00490403" w:rsidRPr="00490403" w14:paraId="74430AD0" w14:textId="77777777" w:rsidTr="00CF110E">
        <w:trPr>
          <w:trHeight w:val="432"/>
        </w:trPr>
        <w:tc>
          <w:tcPr>
            <w:tcW w:w="1008" w:type="dxa"/>
            <w:shd w:val="clear" w:color="auto" w:fill="auto"/>
            <w:noWrap/>
            <w:vAlign w:val="center"/>
            <w:hideMark/>
          </w:tcPr>
          <w:p w14:paraId="24617336" w14:textId="2EBA9D98" w:rsidR="00490403" w:rsidRPr="00490403" w:rsidRDefault="00490403" w:rsidP="00490403">
            <w:pPr>
              <w:rPr>
                <w:rFonts w:ascii="Calibri" w:hAnsi="Calibri" w:cs="Calibri"/>
                <w:color w:val="000000"/>
                <w:sz w:val="16"/>
              </w:rPr>
            </w:pPr>
            <w:r w:rsidRPr="00490403">
              <w:rPr>
                <w:rFonts w:ascii="Calibri" w:hAnsi="Calibri" w:cs="Calibri"/>
                <w:color w:val="000000"/>
                <w:sz w:val="16"/>
              </w:rPr>
              <w:t>Less Than 1000</w:t>
            </w:r>
          </w:p>
        </w:tc>
        <w:tc>
          <w:tcPr>
            <w:tcW w:w="1008" w:type="dxa"/>
            <w:shd w:val="clear" w:color="auto" w:fill="auto"/>
            <w:noWrap/>
            <w:vAlign w:val="bottom"/>
            <w:hideMark/>
          </w:tcPr>
          <w:p w14:paraId="498DA74C"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326</w:t>
            </w:r>
          </w:p>
        </w:tc>
        <w:tc>
          <w:tcPr>
            <w:tcW w:w="1008" w:type="dxa"/>
            <w:shd w:val="clear" w:color="auto" w:fill="auto"/>
            <w:noWrap/>
            <w:vAlign w:val="bottom"/>
            <w:hideMark/>
          </w:tcPr>
          <w:p w14:paraId="5A57EFCA"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118</w:t>
            </w:r>
          </w:p>
        </w:tc>
        <w:tc>
          <w:tcPr>
            <w:tcW w:w="1008" w:type="dxa"/>
            <w:shd w:val="clear" w:color="auto" w:fill="auto"/>
            <w:noWrap/>
            <w:vAlign w:val="bottom"/>
            <w:hideMark/>
          </w:tcPr>
          <w:p w14:paraId="7A9708C6"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19</w:t>
            </w:r>
          </w:p>
        </w:tc>
        <w:tc>
          <w:tcPr>
            <w:tcW w:w="1008" w:type="dxa"/>
            <w:shd w:val="clear" w:color="auto" w:fill="auto"/>
            <w:noWrap/>
            <w:vAlign w:val="bottom"/>
            <w:hideMark/>
          </w:tcPr>
          <w:p w14:paraId="0F387F75"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463</w:t>
            </w:r>
          </w:p>
        </w:tc>
        <w:tc>
          <w:tcPr>
            <w:tcW w:w="1008" w:type="dxa"/>
            <w:shd w:val="clear" w:color="auto" w:fill="auto"/>
            <w:noWrap/>
            <w:vAlign w:val="bottom"/>
            <w:hideMark/>
          </w:tcPr>
          <w:p w14:paraId="057E51CC"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70%</w:t>
            </w:r>
          </w:p>
        </w:tc>
        <w:tc>
          <w:tcPr>
            <w:tcW w:w="1008" w:type="dxa"/>
            <w:shd w:val="clear" w:color="auto" w:fill="auto"/>
            <w:noWrap/>
            <w:vAlign w:val="bottom"/>
            <w:hideMark/>
          </w:tcPr>
          <w:p w14:paraId="5A14AB9E"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25%</w:t>
            </w:r>
          </w:p>
        </w:tc>
        <w:tc>
          <w:tcPr>
            <w:tcW w:w="1008" w:type="dxa"/>
            <w:shd w:val="clear" w:color="auto" w:fill="auto"/>
            <w:noWrap/>
            <w:vAlign w:val="bottom"/>
            <w:hideMark/>
          </w:tcPr>
          <w:p w14:paraId="6608A230"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4%</w:t>
            </w:r>
          </w:p>
        </w:tc>
      </w:tr>
      <w:tr w:rsidR="00490403" w:rsidRPr="00490403" w14:paraId="41740730" w14:textId="77777777" w:rsidTr="00CF110E">
        <w:trPr>
          <w:trHeight w:val="432"/>
        </w:trPr>
        <w:tc>
          <w:tcPr>
            <w:tcW w:w="1008" w:type="dxa"/>
            <w:shd w:val="clear" w:color="auto" w:fill="auto"/>
            <w:noWrap/>
            <w:vAlign w:val="center"/>
            <w:hideMark/>
          </w:tcPr>
          <w:p w14:paraId="4B02C5AC" w14:textId="483C8DCF" w:rsidR="00490403" w:rsidRPr="00490403" w:rsidRDefault="00490403" w:rsidP="00490403">
            <w:pPr>
              <w:rPr>
                <w:rFonts w:ascii="Calibri" w:hAnsi="Calibri" w:cs="Calibri"/>
                <w:color w:val="000000"/>
                <w:sz w:val="16"/>
              </w:rPr>
            </w:pPr>
            <w:r w:rsidRPr="00490403">
              <w:rPr>
                <w:rFonts w:ascii="Calibri" w:hAnsi="Calibri" w:cs="Calibri"/>
                <w:color w:val="000000"/>
                <w:sz w:val="16"/>
              </w:rPr>
              <w:t>1000 to 4999</w:t>
            </w:r>
          </w:p>
        </w:tc>
        <w:tc>
          <w:tcPr>
            <w:tcW w:w="1008" w:type="dxa"/>
            <w:shd w:val="clear" w:color="auto" w:fill="auto"/>
            <w:noWrap/>
            <w:vAlign w:val="bottom"/>
            <w:hideMark/>
          </w:tcPr>
          <w:p w14:paraId="446637EB"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926</w:t>
            </w:r>
          </w:p>
        </w:tc>
        <w:tc>
          <w:tcPr>
            <w:tcW w:w="1008" w:type="dxa"/>
            <w:shd w:val="clear" w:color="auto" w:fill="auto"/>
            <w:noWrap/>
            <w:vAlign w:val="bottom"/>
            <w:hideMark/>
          </w:tcPr>
          <w:p w14:paraId="207C0372"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428</w:t>
            </w:r>
          </w:p>
        </w:tc>
        <w:tc>
          <w:tcPr>
            <w:tcW w:w="1008" w:type="dxa"/>
            <w:shd w:val="clear" w:color="auto" w:fill="auto"/>
            <w:noWrap/>
            <w:vAlign w:val="bottom"/>
            <w:hideMark/>
          </w:tcPr>
          <w:p w14:paraId="509CF46B"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65</w:t>
            </w:r>
          </w:p>
        </w:tc>
        <w:tc>
          <w:tcPr>
            <w:tcW w:w="1008" w:type="dxa"/>
            <w:shd w:val="clear" w:color="auto" w:fill="auto"/>
            <w:noWrap/>
            <w:vAlign w:val="bottom"/>
            <w:hideMark/>
          </w:tcPr>
          <w:p w14:paraId="30599C11"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1419</w:t>
            </w:r>
          </w:p>
        </w:tc>
        <w:tc>
          <w:tcPr>
            <w:tcW w:w="1008" w:type="dxa"/>
            <w:shd w:val="clear" w:color="auto" w:fill="auto"/>
            <w:noWrap/>
            <w:vAlign w:val="bottom"/>
            <w:hideMark/>
          </w:tcPr>
          <w:p w14:paraId="78C500EE"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65%</w:t>
            </w:r>
          </w:p>
        </w:tc>
        <w:tc>
          <w:tcPr>
            <w:tcW w:w="1008" w:type="dxa"/>
            <w:shd w:val="clear" w:color="auto" w:fill="auto"/>
            <w:noWrap/>
            <w:vAlign w:val="bottom"/>
            <w:hideMark/>
          </w:tcPr>
          <w:p w14:paraId="38C1929D"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30%</w:t>
            </w:r>
          </w:p>
        </w:tc>
        <w:tc>
          <w:tcPr>
            <w:tcW w:w="1008" w:type="dxa"/>
            <w:shd w:val="clear" w:color="auto" w:fill="auto"/>
            <w:noWrap/>
            <w:vAlign w:val="bottom"/>
            <w:hideMark/>
          </w:tcPr>
          <w:p w14:paraId="75225717"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5%</w:t>
            </w:r>
          </w:p>
        </w:tc>
      </w:tr>
      <w:tr w:rsidR="00490403" w:rsidRPr="00490403" w14:paraId="6F4612E3" w14:textId="77777777" w:rsidTr="00CF110E">
        <w:trPr>
          <w:trHeight w:val="432"/>
        </w:trPr>
        <w:tc>
          <w:tcPr>
            <w:tcW w:w="1008" w:type="dxa"/>
            <w:shd w:val="clear" w:color="auto" w:fill="auto"/>
            <w:noWrap/>
            <w:vAlign w:val="center"/>
            <w:hideMark/>
          </w:tcPr>
          <w:p w14:paraId="1B44A3C4" w14:textId="561923E0" w:rsidR="00490403" w:rsidRPr="00490403" w:rsidRDefault="00490403" w:rsidP="00490403">
            <w:pPr>
              <w:rPr>
                <w:rFonts w:ascii="Calibri" w:hAnsi="Calibri" w:cs="Calibri"/>
                <w:color w:val="000000"/>
                <w:sz w:val="16"/>
              </w:rPr>
            </w:pPr>
            <w:r w:rsidRPr="00490403">
              <w:rPr>
                <w:rFonts w:ascii="Calibri" w:hAnsi="Calibri" w:cs="Calibri"/>
                <w:color w:val="000000"/>
                <w:sz w:val="16"/>
              </w:rPr>
              <w:t>5000 to 9999</w:t>
            </w:r>
          </w:p>
        </w:tc>
        <w:tc>
          <w:tcPr>
            <w:tcW w:w="1008" w:type="dxa"/>
            <w:shd w:val="clear" w:color="auto" w:fill="auto"/>
            <w:noWrap/>
            <w:vAlign w:val="bottom"/>
            <w:hideMark/>
          </w:tcPr>
          <w:p w14:paraId="334B5C30"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385</w:t>
            </w:r>
          </w:p>
        </w:tc>
        <w:tc>
          <w:tcPr>
            <w:tcW w:w="1008" w:type="dxa"/>
            <w:shd w:val="clear" w:color="auto" w:fill="auto"/>
            <w:noWrap/>
            <w:vAlign w:val="bottom"/>
            <w:hideMark/>
          </w:tcPr>
          <w:p w14:paraId="6D1C69F0"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288</w:t>
            </w:r>
          </w:p>
        </w:tc>
        <w:tc>
          <w:tcPr>
            <w:tcW w:w="1008" w:type="dxa"/>
            <w:shd w:val="clear" w:color="auto" w:fill="auto"/>
            <w:noWrap/>
            <w:vAlign w:val="bottom"/>
            <w:hideMark/>
          </w:tcPr>
          <w:p w14:paraId="7619077B"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55</w:t>
            </w:r>
          </w:p>
        </w:tc>
        <w:tc>
          <w:tcPr>
            <w:tcW w:w="1008" w:type="dxa"/>
            <w:shd w:val="clear" w:color="auto" w:fill="auto"/>
            <w:noWrap/>
            <w:vAlign w:val="bottom"/>
            <w:hideMark/>
          </w:tcPr>
          <w:p w14:paraId="3940FE15"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728</w:t>
            </w:r>
          </w:p>
        </w:tc>
        <w:tc>
          <w:tcPr>
            <w:tcW w:w="1008" w:type="dxa"/>
            <w:shd w:val="clear" w:color="auto" w:fill="auto"/>
            <w:noWrap/>
            <w:vAlign w:val="bottom"/>
            <w:hideMark/>
          </w:tcPr>
          <w:p w14:paraId="0D6043F9"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53%</w:t>
            </w:r>
          </w:p>
        </w:tc>
        <w:tc>
          <w:tcPr>
            <w:tcW w:w="1008" w:type="dxa"/>
            <w:shd w:val="clear" w:color="auto" w:fill="auto"/>
            <w:noWrap/>
            <w:vAlign w:val="bottom"/>
            <w:hideMark/>
          </w:tcPr>
          <w:p w14:paraId="411C60DA"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40%</w:t>
            </w:r>
          </w:p>
        </w:tc>
        <w:tc>
          <w:tcPr>
            <w:tcW w:w="1008" w:type="dxa"/>
            <w:shd w:val="clear" w:color="auto" w:fill="auto"/>
            <w:noWrap/>
            <w:vAlign w:val="bottom"/>
            <w:hideMark/>
          </w:tcPr>
          <w:p w14:paraId="78BC6A47"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8%</w:t>
            </w:r>
          </w:p>
        </w:tc>
      </w:tr>
      <w:tr w:rsidR="00490403" w:rsidRPr="00490403" w14:paraId="68BD4CF1" w14:textId="77777777" w:rsidTr="00CF110E">
        <w:trPr>
          <w:trHeight w:val="432"/>
        </w:trPr>
        <w:tc>
          <w:tcPr>
            <w:tcW w:w="1008" w:type="dxa"/>
            <w:shd w:val="clear" w:color="auto" w:fill="auto"/>
            <w:noWrap/>
            <w:vAlign w:val="center"/>
            <w:hideMark/>
          </w:tcPr>
          <w:p w14:paraId="6E4F7A49" w14:textId="1D8234E0" w:rsidR="00490403" w:rsidRPr="00490403" w:rsidRDefault="00490403" w:rsidP="00490403">
            <w:pPr>
              <w:rPr>
                <w:rFonts w:ascii="Calibri" w:hAnsi="Calibri" w:cs="Calibri"/>
                <w:color w:val="000000"/>
                <w:sz w:val="16"/>
              </w:rPr>
            </w:pPr>
            <w:r w:rsidRPr="00490403">
              <w:rPr>
                <w:rFonts w:ascii="Calibri" w:hAnsi="Calibri" w:cs="Calibri"/>
                <w:color w:val="000000"/>
                <w:sz w:val="16"/>
              </w:rPr>
              <w:t>10000 to 14999</w:t>
            </w:r>
          </w:p>
        </w:tc>
        <w:tc>
          <w:tcPr>
            <w:tcW w:w="1008" w:type="dxa"/>
            <w:shd w:val="clear" w:color="auto" w:fill="auto"/>
            <w:noWrap/>
            <w:vAlign w:val="bottom"/>
            <w:hideMark/>
          </w:tcPr>
          <w:p w14:paraId="7A132B0B"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171</w:t>
            </w:r>
          </w:p>
        </w:tc>
        <w:tc>
          <w:tcPr>
            <w:tcW w:w="1008" w:type="dxa"/>
            <w:shd w:val="clear" w:color="auto" w:fill="auto"/>
            <w:noWrap/>
            <w:vAlign w:val="bottom"/>
            <w:hideMark/>
          </w:tcPr>
          <w:p w14:paraId="4C672DD2"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142</w:t>
            </w:r>
          </w:p>
        </w:tc>
        <w:tc>
          <w:tcPr>
            <w:tcW w:w="1008" w:type="dxa"/>
            <w:shd w:val="clear" w:color="auto" w:fill="auto"/>
            <w:noWrap/>
            <w:vAlign w:val="bottom"/>
            <w:hideMark/>
          </w:tcPr>
          <w:p w14:paraId="2D55AFA0"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37</w:t>
            </w:r>
          </w:p>
        </w:tc>
        <w:tc>
          <w:tcPr>
            <w:tcW w:w="1008" w:type="dxa"/>
            <w:shd w:val="clear" w:color="auto" w:fill="auto"/>
            <w:noWrap/>
            <w:vAlign w:val="bottom"/>
            <w:hideMark/>
          </w:tcPr>
          <w:p w14:paraId="4B3F5AE6"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350</w:t>
            </w:r>
          </w:p>
        </w:tc>
        <w:tc>
          <w:tcPr>
            <w:tcW w:w="1008" w:type="dxa"/>
            <w:shd w:val="clear" w:color="auto" w:fill="auto"/>
            <w:noWrap/>
            <w:vAlign w:val="bottom"/>
            <w:hideMark/>
          </w:tcPr>
          <w:p w14:paraId="588F1839"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49%</w:t>
            </w:r>
          </w:p>
        </w:tc>
        <w:tc>
          <w:tcPr>
            <w:tcW w:w="1008" w:type="dxa"/>
            <w:shd w:val="clear" w:color="auto" w:fill="auto"/>
            <w:noWrap/>
            <w:vAlign w:val="bottom"/>
            <w:hideMark/>
          </w:tcPr>
          <w:p w14:paraId="04A1276A"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41%</w:t>
            </w:r>
          </w:p>
        </w:tc>
        <w:tc>
          <w:tcPr>
            <w:tcW w:w="1008" w:type="dxa"/>
            <w:shd w:val="clear" w:color="auto" w:fill="auto"/>
            <w:noWrap/>
            <w:vAlign w:val="bottom"/>
            <w:hideMark/>
          </w:tcPr>
          <w:p w14:paraId="3571C5C8"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11%</w:t>
            </w:r>
          </w:p>
        </w:tc>
      </w:tr>
      <w:tr w:rsidR="00490403" w:rsidRPr="00490403" w14:paraId="17F800DE" w14:textId="77777777" w:rsidTr="00CF110E">
        <w:trPr>
          <w:trHeight w:val="432"/>
        </w:trPr>
        <w:tc>
          <w:tcPr>
            <w:tcW w:w="1008" w:type="dxa"/>
            <w:shd w:val="clear" w:color="auto" w:fill="auto"/>
            <w:noWrap/>
            <w:vAlign w:val="center"/>
            <w:hideMark/>
          </w:tcPr>
          <w:p w14:paraId="413D97BC" w14:textId="27332974" w:rsidR="00490403" w:rsidRPr="00490403" w:rsidRDefault="00490403" w:rsidP="00490403">
            <w:pPr>
              <w:rPr>
                <w:rFonts w:ascii="Calibri" w:hAnsi="Calibri" w:cs="Calibri"/>
                <w:color w:val="000000"/>
                <w:sz w:val="16"/>
              </w:rPr>
            </w:pPr>
            <w:r w:rsidRPr="00490403">
              <w:rPr>
                <w:rFonts w:ascii="Calibri" w:hAnsi="Calibri" w:cs="Calibri"/>
                <w:color w:val="000000"/>
                <w:sz w:val="16"/>
              </w:rPr>
              <w:t>15000 to 19999</w:t>
            </w:r>
          </w:p>
        </w:tc>
        <w:tc>
          <w:tcPr>
            <w:tcW w:w="1008" w:type="dxa"/>
            <w:shd w:val="clear" w:color="auto" w:fill="auto"/>
            <w:noWrap/>
            <w:vAlign w:val="bottom"/>
            <w:hideMark/>
          </w:tcPr>
          <w:p w14:paraId="72F2ED7F"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96</w:t>
            </w:r>
          </w:p>
        </w:tc>
        <w:tc>
          <w:tcPr>
            <w:tcW w:w="1008" w:type="dxa"/>
            <w:shd w:val="clear" w:color="auto" w:fill="auto"/>
            <w:noWrap/>
            <w:vAlign w:val="bottom"/>
            <w:hideMark/>
          </w:tcPr>
          <w:p w14:paraId="6C8E180C"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93</w:t>
            </w:r>
          </w:p>
        </w:tc>
        <w:tc>
          <w:tcPr>
            <w:tcW w:w="1008" w:type="dxa"/>
            <w:shd w:val="clear" w:color="auto" w:fill="auto"/>
            <w:noWrap/>
            <w:vAlign w:val="bottom"/>
            <w:hideMark/>
          </w:tcPr>
          <w:p w14:paraId="223D6864"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18</w:t>
            </w:r>
          </w:p>
        </w:tc>
        <w:tc>
          <w:tcPr>
            <w:tcW w:w="1008" w:type="dxa"/>
            <w:shd w:val="clear" w:color="auto" w:fill="auto"/>
            <w:noWrap/>
            <w:vAlign w:val="bottom"/>
            <w:hideMark/>
          </w:tcPr>
          <w:p w14:paraId="28DA8AB0"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207</w:t>
            </w:r>
          </w:p>
        </w:tc>
        <w:tc>
          <w:tcPr>
            <w:tcW w:w="1008" w:type="dxa"/>
            <w:shd w:val="clear" w:color="auto" w:fill="auto"/>
            <w:noWrap/>
            <w:vAlign w:val="bottom"/>
            <w:hideMark/>
          </w:tcPr>
          <w:p w14:paraId="63074AEA"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46%</w:t>
            </w:r>
          </w:p>
        </w:tc>
        <w:tc>
          <w:tcPr>
            <w:tcW w:w="1008" w:type="dxa"/>
            <w:shd w:val="clear" w:color="auto" w:fill="auto"/>
            <w:noWrap/>
            <w:vAlign w:val="bottom"/>
            <w:hideMark/>
          </w:tcPr>
          <w:p w14:paraId="29D1F011"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45%</w:t>
            </w:r>
          </w:p>
        </w:tc>
        <w:tc>
          <w:tcPr>
            <w:tcW w:w="1008" w:type="dxa"/>
            <w:shd w:val="clear" w:color="auto" w:fill="auto"/>
            <w:noWrap/>
            <w:vAlign w:val="bottom"/>
            <w:hideMark/>
          </w:tcPr>
          <w:p w14:paraId="75F375B8"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9%</w:t>
            </w:r>
          </w:p>
        </w:tc>
      </w:tr>
      <w:tr w:rsidR="00490403" w:rsidRPr="00490403" w14:paraId="7C3BAAA0" w14:textId="77777777" w:rsidTr="00CF110E">
        <w:trPr>
          <w:trHeight w:val="432"/>
        </w:trPr>
        <w:tc>
          <w:tcPr>
            <w:tcW w:w="1008" w:type="dxa"/>
            <w:shd w:val="clear" w:color="auto" w:fill="auto"/>
            <w:noWrap/>
            <w:vAlign w:val="center"/>
            <w:hideMark/>
          </w:tcPr>
          <w:p w14:paraId="20460337" w14:textId="70CA03D4" w:rsidR="00490403" w:rsidRPr="00490403" w:rsidRDefault="00490403" w:rsidP="00490403">
            <w:pPr>
              <w:rPr>
                <w:rFonts w:ascii="Calibri" w:hAnsi="Calibri" w:cs="Calibri"/>
                <w:color w:val="000000"/>
                <w:sz w:val="16"/>
              </w:rPr>
            </w:pPr>
            <w:r w:rsidRPr="00490403">
              <w:rPr>
                <w:rFonts w:ascii="Calibri" w:hAnsi="Calibri" w:cs="Calibri"/>
                <w:color w:val="000000"/>
                <w:sz w:val="16"/>
              </w:rPr>
              <w:t>20000 to 24999</w:t>
            </w:r>
          </w:p>
        </w:tc>
        <w:tc>
          <w:tcPr>
            <w:tcW w:w="1008" w:type="dxa"/>
            <w:shd w:val="clear" w:color="auto" w:fill="auto"/>
            <w:noWrap/>
            <w:vAlign w:val="bottom"/>
            <w:hideMark/>
          </w:tcPr>
          <w:p w14:paraId="38F62228"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52</w:t>
            </w:r>
          </w:p>
        </w:tc>
        <w:tc>
          <w:tcPr>
            <w:tcW w:w="1008" w:type="dxa"/>
            <w:shd w:val="clear" w:color="auto" w:fill="auto"/>
            <w:noWrap/>
            <w:vAlign w:val="bottom"/>
            <w:hideMark/>
          </w:tcPr>
          <w:p w14:paraId="558935D1"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70</w:t>
            </w:r>
          </w:p>
        </w:tc>
        <w:tc>
          <w:tcPr>
            <w:tcW w:w="1008" w:type="dxa"/>
            <w:shd w:val="clear" w:color="auto" w:fill="auto"/>
            <w:noWrap/>
            <w:vAlign w:val="bottom"/>
            <w:hideMark/>
          </w:tcPr>
          <w:p w14:paraId="0BE2723D"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16</w:t>
            </w:r>
          </w:p>
        </w:tc>
        <w:tc>
          <w:tcPr>
            <w:tcW w:w="1008" w:type="dxa"/>
            <w:shd w:val="clear" w:color="auto" w:fill="auto"/>
            <w:noWrap/>
            <w:vAlign w:val="bottom"/>
            <w:hideMark/>
          </w:tcPr>
          <w:p w14:paraId="09454370"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138</w:t>
            </w:r>
          </w:p>
        </w:tc>
        <w:tc>
          <w:tcPr>
            <w:tcW w:w="1008" w:type="dxa"/>
            <w:shd w:val="clear" w:color="auto" w:fill="auto"/>
            <w:noWrap/>
            <w:vAlign w:val="bottom"/>
            <w:hideMark/>
          </w:tcPr>
          <w:p w14:paraId="4138D8C8"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38%</w:t>
            </w:r>
          </w:p>
        </w:tc>
        <w:tc>
          <w:tcPr>
            <w:tcW w:w="1008" w:type="dxa"/>
            <w:shd w:val="clear" w:color="auto" w:fill="auto"/>
            <w:noWrap/>
            <w:vAlign w:val="bottom"/>
            <w:hideMark/>
          </w:tcPr>
          <w:p w14:paraId="3CE15A3B"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51%</w:t>
            </w:r>
          </w:p>
        </w:tc>
        <w:tc>
          <w:tcPr>
            <w:tcW w:w="1008" w:type="dxa"/>
            <w:shd w:val="clear" w:color="auto" w:fill="auto"/>
            <w:noWrap/>
            <w:vAlign w:val="bottom"/>
            <w:hideMark/>
          </w:tcPr>
          <w:p w14:paraId="2C4F60A7"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12%</w:t>
            </w:r>
          </w:p>
        </w:tc>
      </w:tr>
      <w:tr w:rsidR="00490403" w:rsidRPr="00490403" w14:paraId="20B97AB3" w14:textId="77777777" w:rsidTr="00CF110E">
        <w:trPr>
          <w:trHeight w:val="432"/>
        </w:trPr>
        <w:tc>
          <w:tcPr>
            <w:tcW w:w="1008" w:type="dxa"/>
            <w:shd w:val="clear" w:color="auto" w:fill="auto"/>
            <w:noWrap/>
            <w:vAlign w:val="center"/>
            <w:hideMark/>
          </w:tcPr>
          <w:p w14:paraId="180DB2AA" w14:textId="1101E12B" w:rsidR="00490403" w:rsidRPr="00490403" w:rsidRDefault="00490403" w:rsidP="00490403">
            <w:pPr>
              <w:rPr>
                <w:rFonts w:ascii="Calibri" w:hAnsi="Calibri" w:cs="Calibri"/>
                <w:color w:val="000000"/>
                <w:sz w:val="16"/>
              </w:rPr>
            </w:pPr>
            <w:r w:rsidRPr="00490403">
              <w:rPr>
                <w:rFonts w:ascii="Calibri" w:hAnsi="Calibri" w:cs="Calibri"/>
                <w:color w:val="000000"/>
                <w:sz w:val="16"/>
              </w:rPr>
              <w:t>25000 to 29999</w:t>
            </w:r>
          </w:p>
        </w:tc>
        <w:tc>
          <w:tcPr>
            <w:tcW w:w="1008" w:type="dxa"/>
            <w:shd w:val="clear" w:color="auto" w:fill="auto"/>
            <w:noWrap/>
            <w:vAlign w:val="bottom"/>
            <w:hideMark/>
          </w:tcPr>
          <w:p w14:paraId="608BE505"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62</w:t>
            </w:r>
          </w:p>
        </w:tc>
        <w:tc>
          <w:tcPr>
            <w:tcW w:w="1008" w:type="dxa"/>
            <w:shd w:val="clear" w:color="auto" w:fill="auto"/>
            <w:noWrap/>
            <w:vAlign w:val="bottom"/>
            <w:hideMark/>
          </w:tcPr>
          <w:p w14:paraId="71DDD2AC"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67</w:t>
            </w:r>
          </w:p>
        </w:tc>
        <w:tc>
          <w:tcPr>
            <w:tcW w:w="1008" w:type="dxa"/>
            <w:shd w:val="clear" w:color="auto" w:fill="auto"/>
            <w:noWrap/>
            <w:vAlign w:val="bottom"/>
            <w:hideMark/>
          </w:tcPr>
          <w:p w14:paraId="65E7F2DD"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15</w:t>
            </w:r>
          </w:p>
        </w:tc>
        <w:tc>
          <w:tcPr>
            <w:tcW w:w="1008" w:type="dxa"/>
            <w:shd w:val="clear" w:color="auto" w:fill="auto"/>
            <w:noWrap/>
            <w:vAlign w:val="bottom"/>
            <w:hideMark/>
          </w:tcPr>
          <w:p w14:paraId="0E5CF529"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144</w:t>
            </w:r>
          </w:p>
        </w:tc>
        <w:tc>
          <w:tcPr>
            <w:tcW w:w="1008" w:type="dxa"/>
            <w:shd w:val="clear" w:color="auto" w:fill="auto"/>
            <w:noWrap/>
            <w:vAlign w:val="bottom"/>
            <w:hideMark/>
          </w:tcPr>
          <w:p w14:paraId="1F35D673"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43%</w:t>
            </w:r>
          </w:p>
        </w:tc>
        <w:tc>
          <w:tcPr>
            <w:tcW w:w="1008" w:type="dxa"/>
            <w:shd w:val="clear" w:color="auto" w:fill="auto"/>
            <w:noWrap/>
            <w:vAlign w:val="bottom"/>
            <w:hideMark/>
          </w:tcPr>
          <w:p w14:paraId="6F70C83A"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47%</w:t>
            </w:r>
          </w:p>
        </w:tc>
        <w:tc>
          <w:tcPr>
            <w:tcW w:w="1008" w:type="dxa"/>
            <w:shd w:val="clear" w:color="auto" w:fill="auto"/>
            <w:noWrap/>
            <w:vAlign w:val="bottom"/>
            <w:hideMark/>
          </w:tcPr>
          <w:p w14:paraId="54BE39BA"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10%</w:t>
            </w:r>
          </w:p>
        </w:tc>
      </w:tr>
      <w:tr w:rsidR="00490403" w:rsidRPr="00490403" w14:paraId="10346486" w14:textId="77777777" w:rsidTr="00CF110E">
        <w:trPr>
          <w:trHeight w:val="432"/>
        </w:trPr>
        <w:tc>
          <w:tcPr>
            <w:tcW w:w="1008" w:type="dxa"/>
            <w:shd w:val="clear" w:color="auto" w:fill="auto"/>
            <w:noWrap/>
            <w:vAlign w:val="center"/>
            <w:hideMark/>
          </w:tcPr>
          <w:p w14:paraId="06A4EE9C" w14:textId="1027D98F" w:rsidR="00490403" w:rsidRPr="00490403" w:rsidRDefault="00490403" w:rsidP="00490403">
            <w:pPr>
              <w:rPr>
                <w:rFonts w:ascii="Calibri" w:hAnsi="Calibri" w:cs="Calibri"/>
                <w:color w:val="000000"/>
                <w:sz w:val="16"/>
              </w:rPr>
            </w:pPr>
            <w:r w:rsidRPr="00490403">
              <w:rPr>
                <w:rFonts w:ascii="Calibri" w:hAnsi="Calibri" w:cs="Calibri"/>
                <w:color w:val="000000"/>
                <w:sz w:val="16"/>
              </w:rPr>
              <w:t>30000 to 34999</w:t>
            </w:r>
          </w:p>
        </w:tc>
        <w:tc>
          <w:tcPr>
            <w:tcW w:w="1008" w:type="dxa"/>
            <w:shd w:val="clear" w:color="auto" w:fill="auto"/>
            <w:noWrap/>
            <w:vAlign w:val="bottom"/>
            <w:hideMark/>
          </w:tcPr>
          <w:p w14:paraId="00629863"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32</w:t>
            </w:r>
          </w:p>
        </w:tc>
        <w:tc>
          <w:tcPr>
            <w:tcW w:w="1008" w:type="dxa"/>
            <w:shd w:val="clear" w:color="auto" w:fill="auto"/>
            <w:noWrap/>
            <w:vAlign w:val="bottom"/>
            <w:hideMark/>
          </w:tcPr>
          <w:p w14:paraId="617CCCE7"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31</w:t>
            </w:r>
          </w:p>
        </w:tc>
        <w:tc>
          <w:tcPr>
            <w:tcW w:w="1008" w:type="dxa"/>
            <w:shd w:val="clear" w:color="auto" w:fill="auto"/>
            <w:noWrap/>
            <w:vAlign w:val="bottom"/>
            <w:hideMark/>
          </w:tcPr>
          <w:p w14:paraId="0BCDA9F1"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14</w:t>
            </w:r>
          </w:p>
        </w:tc>
        <w:tc>
          <w:tcPr>
            <w:tcW w:w="1008" w:type="dxa"/>
            <w:shd w:val="clear" w:color="auto" w:fill="auto"/>
            <w:noWrap/>
            <w:vAlign w:val="bottom"/>
            <w:hideMark/>
          </w:tcPr>
          <w:p w14:paraId="6BFD3340"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77</w:t>
            </w:r>
          </w:p>
        </w:tc>
        <w:tc>
          <w:tcPr>
            <w:tcW w:w="1008" w:type="dxa"/>
            <w:shd w:val="clear" w:color="auto" w:fill="auto"/>
            <w:noWrap/>
            <w:vAlign w:val="bottom"/>
            <w:hideMark/>
          </w:tcPr>
          <w:p w14:paraId="6BA420FF"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42%</w:t>
            </w:r>
          </w:p>
        </w:tc>
        <w:tc>
          <w:tcPr>
            <w:tcW w:w="1008" w:type="dxa"/>
            <w:shd w:val="clear" w:color="auto" w:fill="auto"/>
            <w:noWrap/>
            <w:vAlign w:val="bottom"/>
            <w:hideMark/>
          </w:tcPr>
          <w:p w14:paraId="1292D57E"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40%</w:t>
            </w:r>
          </w:p>
        </w:tc>
        <w:tc>
          <w:tcPr>
            <w:tcW w:w="1008" w:type="dxa"/>
            <w:shd w:val="clear" w:color="auto" w:fill="auto"/>
            <w:noWrap/>
            <w:vAlign w:val="bottom"/>
            <w:hideMark/>
          </w:tcPr>
          <w:p w14:paraId="26150A2F"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18%</w:t>
            </w:r>
          </w:p>
        </w:tc>
      </w:tr>
      <w:tr w:rsidR="00490403" w:rsidRPr="00490403" w14:paraId="125586B9" w14:textId="77777777" w:rsidTr="00CF110E">
        <w:trPr>
          <w:trHeight w:val="432"/>
        </w:trPr>
        <w:tc>
          <w:tcPr>
            <w:tcW w:w="1008" w:type="dxa"/>
            <w:shd w:val="clear" w:color="auto" w:fill="auto"/>
            <w:noWrap/>
            <w:vAlign w:val="center"/>
            <w:hideMark/>
          </w:tcPr>
          <w:p w14:paraId="45012C0A" w14:textId="63D1F97F" w:rsidR="00490403" w:rsidRPr="00490403" w:rsidRDefault="00490403" w:rsidP="00490403">
            <w:pPr>
              <w:rPr>
                <w:rFonts w:ascii="Calibri" w:hAnsi="Calibri" w:cs="Calibri"/>
                <w:color w:val="000000"/>
                <w:sz w:val="16"/>
              </w:rPr>
            </w:pPr>
            <w:r w:rsidRPr="00490403">
              <w:rPr>
                <w:rFonts w:ascii="Calibri" w:hAnsi="Calibri" w:cs="Calibri"/>
                <w:color w:val="000000"/>
                <w:sz w:val="16"/>
              </w:rPr>
              <w:t>35000 to 39999</w:t>
            </w:r>
          </w:p>
        </w:tc>
        <w:tc>
          <w:tcPr>
            <w:tcW w:w="1008" w:type="dxa"/>
            <w:shd w:val="clear" w:color="auto" w:fill="auto"/>
            <w:noWrap/>
            <w:vAlign w:val="bottom"/>
            <w:hideMark/>
          </w:tcPr>
          <w:p w14:paraId="590360C9"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28</w:t>
            </w:r>
          </w:p>
        </w:tc>
        <w:tc>
          <w:tcPr>
            <w:tcW w:w="1008" w:type="dxa"/>
            <w:shd w:val="clear" w:color="auto" w:fill="auto"/>
            <w:noWrap/>
            <w:vAlign w:val="bottom"/>
            <w:hideMark/>
          </w:tcPr>
          <w:p w14:paraId="71A4E119"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29</w:t>
            </w:r>
          </w:p>
        </w:tc>
        <w:tc>
          <w:tcPr>
            <w:tcW w:w="1008" w:type="dxa"/>
            <w:shd w:val="clear" w:color="auto" w:fill="auto"/>
            <w:noWrap/>
            <w:vAlign w:val="bottom"/>
            <w:hideMark/>
          </w:tcPr>
          <w:p w14:paraId="5D5C735E"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6</w:t>
            </w:r>
          </w:p>
        </w:tc>
        <w:tc>
          <w:tcPr>
            <w:tcW w:w="1008" w:type="dxa"/>
            <w:shd w:val="clear" w:color="auto" w:fill="auto"/>
            <w:noWrap/>
            <w:vAlign w:val="bottom"/>
            <w:hideMark/>
          </w:tcPr>
          <w:p w14:paraId="3EC2BD95"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63</w:t>
            </w:r>
          </w:p>
        </w:tc>
        <w:tc>
          <w:tcPr>
            <w:tcW w:w="1008" w:type="dxa"/>
            <w:shd w:val="clear" w:color="auto" w:fill="auto"/>
            <w:noWrap/>
            <w:vAlign w:val="bottom"/>
            <w:hideMark/>
          </w:tcPr>
          <w:p w14:paraId="4FEFCE33"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44%</w:t>
            </w:r>
          </w:p>
        </w:tc>
        <w:tc>
          <w:tcPr>
            <w:tcW w:w="1008" w:type="dxa"/>
            <w:shd w:val="clear" w:color="auto" w:fill="auto"/>
            <w:noWrap/>
            <w:vAlign w:val="bottom"/>
            <w:hideMark/>
          </w:tcPr>
          <w:p w14:paraId="3DC668E6"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46%</w:t>
            </w:r>
          </w:p>
        </w:tc>
        <w:tc>
          <w:tcPr>
            <w:tcW w:w="1008" w:type="dxa"/>
            <w:shd w:val="clear" w:color="auto" w:fill="auto"/>
            <w:noWrap/>
            <w:vAlign w:val="bottom"/>
            <w:hideMark/>
          </w:tcPr>
          <w:p w14:paraId="7FB30862"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10%</w:t>
            </w:r>
          </w:p>
        </w:tc>
      </w:tr>
      <w:tr w:rsidR="00490403" w:rsidRPr="00490403" w14:paraId="199050E2" w14:textId="77777777" w:rsidTr="00CF110E">
        <w:trPr>
          <w:trHeight w:val="432"/>
        </w:trPr>
        <w:tc>
          <w:tcPr>
            <w:tcW w:w="1008" w:type="dxa"/>
            <w:shd w:val="clear" w:color="auto" w:fill="auto"/>
            <w:noWrap/>
            <w:vAlign w:val="center"/>
            <w:hideMark/>
          </w:tcPr>
          <w:p w14:paraId="761E2911" w14:textId="095D5FF9" w:rsidR="00490403" w:rsidRPr="00490403" w:rsidRDefault="00490403" w:rsidP="00490403">
            <w:pPr>
              <w:rPr>
                <w:rFonts w:ascii="Calibri" w:hAnsi="Calibri" w:cs="Calibri"/>
                <w:color w:val="000000"/>
                <w:sz w:val="16"/>
              </w:rPr>
            </w:pPr>
            <w:r w:rsidRPr="00490403">
              <w:rPr>
                <w:rFonts w:ascii="Calibri" w:hAnsi="Calibri" w:cs="Calibri"/>
                <w:color w:val="000000"/>
                <w:sz w:val="16"/>
              </w:rPr>
              <w:t>40000 to 44999</w:t>
            </w:r>
          </w:p>
        </w:tc>
        <w:tc>
          <w:tcPr>
            <w:tcW w:w="1008" w:type="dxa"/>
            <w:shd w:val="clear" w:color="auto" w:fill="auto"/>
            <w:noWrap/>
            <w:vAlign w:val="bottom"/>
            <w:hideMark/>
          </w:tcPr>
          <w:p w14:paraId="7E1A6469"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20</w:t>
            </w:r>
          </w:p>
        </w:tc>
        <w:tc>
          <w:tcPr>
            <w:tcW w:w="1008" w:type="dxa"/>
            <w:shd w:val="clear" w:color="auto" w:fill="auto"/>
            <w:noWrap/>
            <w:vAlign w:val="bottom"/>
            <w:hideMark/>
          </w:tcPr>
          <w:p w14:paraId="558B1E6F"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13</w:t>
            </w:r>
          </w:p>
        </w:tc>
        <w:tc>
          <w:tcPr>
            <w:tcW w:w="1008" w:type="dxa"/>
            <w:shd w:val="clear" w:color="auto" w:fill="auto"/>
            <w:noWrap/>
            <w:vAlign w:val="bottom"/>
            <w:hideMark/>
          </w:tcPr>
          <w:p w14:paraId="551B5FC4"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5</w:t>
            </w:r>
          </w:p>
        </w:tc>
        <w:tc>
          <w:tcPr>
            <w:tcW w:w="1008" w:type="dxa"/>
            <w:shd w:val="clear" w:color="auto" w:fill="auto"/>
            <w:noWrap/>
            <w:vAlign w:val="bottom"/>
            <w:hideMark/>
          </w:tcPr>
          <w:p w14:paraId="1635BB12"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38</w:t>
            </w:r>
          </w:p>
        </w:tc>
        <w:tc>
          <w:tcPr>
            <w:tcW w:w="1008" w:type="dxa"/>
            <w:shd w:val="clear" w:color="auto" w:fill="auto"/>
            <w:noWrap/>
            <w:vAlign w:val="bottom"/>
            <w:hideMark/>
          </w:tcPr>
          <w:p w14:paraId="2656655A"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53%</w:t>
            </w:r>
          </w:p>
        </w:tc>
        <w:tc>
          <w:tcPr>
            <w:tcW w:w="1008" w:type="dxa"/>
            <w:shd w:val="clear" w:color="auto" w:fill="auto"/>
            <w:noWrap/>
            <w:vAlign w:val="bottom"/>
            <w:hideMark/>
          </w:tcPr>
          <w:p w14:paraId="5B7AEFEE"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34%</w:t>
            </w:r>
          </w:p>
        </w:tc>
        <w:tc>
          <w:tcPr>
            <w:tcW w:w="1008" w:type="dxa"/>
            <w:shd w:val="clear" w:color="auto" w:fill="auto"/>
            <w:noWrap/>
            <w:vAlign w:val="bottom"/>
            <w:hideMark/>
          </w:tcPr>
          <w:p w14:paraId="16536D2F"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13%</w:t>
            </w:r>
          </w:p>
        </w:tc>
      </w:tr>
      <w:tr w:rsidR="00490403" w:rsidRPr="00490403" w14:paraId="37F9C3DA" w14:textId="77777777" w:rsidTr="00CF110E">
        <w:trPr>
          <w:trHeight w:val="432"/>
        </w:trPr>
        <w:tc>
          <w:tcPr>
            <w:tcW w:w="1008" w:type="dxa"/>
            <w:shd w:val="clear" w:color="auto" w:fill="auto"/>
            <w:noWrap/>
            <w:vAlign w:val="center"/>
            <w:hideMark/>
          </w:tcPr>
          <w:p w14:paraId="507BB967" w14:textId="5E3776F9" w:rsidR="00490403" w:rsidRPr="00490403" w:rsidRDefault="00490403" w:rsidP="00490403">
            <w:pPr>
              <w:rPr>
                <w:rFonts w:ascii="Calibri" w:hAnsi="Calibri" w:cs="Calibri"/>
                <w:color w:val="000000"/>
                <w:sz w:val="16"/>
              </w:rPr>
            </w:pPr>
            <w:r w:rsidRPr="00490403">
              <w:rPr>
                <w:rFonts w:ascii="Calibri" w:hAnsi="Calibri" w:cs="Calibri"/>
                <w:color w:val="000000"/>
                <w:sz w:val="16"/>
              </w:rPr>
              <w:t>45000 to 49999</w:t>
            </w:r>
          </w:p>
        </w:tc>
        <w:tc>
          <w:tcPr>
            <w:tcW w:w="1008" w:type="dxa"/>
            <w:shd w:val="clear" w:color="auto" w:fill="auto"/>
            <w:noWrap/>
            <w:vAlign w:val="bottom"/>
            <w:hideMark/>
          </w:tcPr>
          <w:p w14:paraId="35849350"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7</w:t>
            </w:r>
          </w:p>
        </w:tc>
        <w:tc>
          <w:tcPr>
            <w:tcW w:w="1008" w:type="dxa"/>
            <w:shd w:val="clear" w:color="auto" w:fill="auto"/>
            <w:noWrap/>
            <w:vAlign w:val="bottom"/>
            <w:hideMark/>
          </w:tcPr>
          <w:p w14:paraId="3A14374F"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12</w:t>
            </w:r>
          </w:p>
        </w:tc>
        <w:tc>
          <w:tcPr>
            <w:tcW w:w="1008" w:type="dxa"/>
            <w:shd w:val="clear" w:color="auto" w:fill="auto"/>
            <w:noWrap/>
            <w:vAlign w:val="bottom"/>
            <w:hideMark/>
          </w:tcPr>
          <w:p w14:paraId="349AA3F9"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5</w:t>
            </w:r>
          </w:p>
        </w:tc>
        <w:tc>
          <w:tcPr>
            <w:tcW w:w="1008" w:type="dxa"/>
            <w:shd w:val="clear" w:color="auto" w:fill="auto"/>
            <w:noWrap/>
            <w:vAlign w:val="bottom"/>
            <w:hideMark/>
          </w:tcPr>
          <w:p w14:paraId="2B914BDE"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24</w:t>
            </w:r>
          </w:p>
        </w:tc>
        <w:tc>
          <w:tcPr>
            <w:tcW w:w="1008" w:type="dxa"/>
            <w:shd w:val="clear" w:color="auto" w:fill="auto"/>
            <w:noWrap/>
            <w:vAlign w:val="bottom"/>
            <w:hideMark/>
          </w:tcPr>
          <w:p w14:paraId="00185746"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29%</w:t>
            </w:r>
          </w:p>
        </w:tc>
        <w:tc>
          <w:tcPr>
            <w:tcW w:w="1008" w:type="dxa"/>
            <w:shd w:val="clear" w:color="auto" w:fill="auto"/>
            <w:noWrap/>
            <w:vAlign w:val="bottom"/>
            <w:hideMark/>
          </w:tcPr>
          <w:p w14:paraId="40D8C0D1"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50%</w:t>
            </w:r>
          </w:p>
        </w:tc>
        <w:tc>
          <w:tcPr>
            <w:tcW w:w="1008" w:type="dxa"/>
            <w:shd w:val="clear" w:color="auto" w:fill="auto"/>
            <w:noWrap/>
            <w:vAlign w:val="bottom"/>
            <w:hideMark/>
          </w:tcPr>
          <w:p w14:paraId="5669E818"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21%</w:t>
            </w:r>
          </w:p>
        </w:tc>
      </w:tr>
      <w:tr w:rsidR="00490403" w:rsidRPr="00490403" w14:paraId="6EAF5F73" w14:textId="77777777" w:rsidTr="00CF110E">
        <w:trPr>
          <w:trHeight w:val="432"/>
        </w:trPr>
        <w:tc>
          <w:tcPr>
            <w:tcW w:w="1008" w:type="dxa"/>
            <w:shd w:val="clear" w:color="auto" w:fill="auto"/>
            <w:noWrap/>
            <w:vAlign w:val="center"/>
            <w:hideMark/>
          </w:tcPr>
          <w:p w14:paraId="03DB4197" w14:textId="10DC0C0C" w:rsidR="00490403" w:rsidRPr="00490403" w:rsidRDefault="00490403" w:rsidP="00490403">
            <w:pPr>
              <w:rPr>
                <w:rFonts w:ascii="Calibri" w:hAnsi="Calibri" w:cs="Calibri"/>
                <w:color w:val="000000"/>
                <w:sz w:val="16"/>
              </w:rPr>
            </w:pPr>
            <w:r w:rsidRPr="00490403">
              <w:rPr>
                <w:rFonts w:ascii="Calibri" w:hAnsi="Calibri" w:cs="Calibri"/>
                <w:color w:val="000000"/>
                <w:sz w:val="16"/>
              </w:rPr>
              <w:t>Greater than or equal to 50000</w:t>
            </w:r>
          </w:p>
        </w:tc>
        <w:tc>
          <w:tcPr>
            <w:tcW w:w="1008" w:type="dxa"/>
            <w:shd w:val="clear" w:color="auto" w:fill="auto"/>
            <w:noWrap/>
            <w:vAlign w:val="bottom"/>
            <w:hideMark/>
          </w:tcPr>
          <w:p w14:paraId="0D6FE499"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80</w:t>
            </w:r>
          </w:p>
        </w:tc>
        <w:tc>
          <w:tcPr>
            <w:tcW w:w="1008" w:type="dxa"/>
            <w:shd w:val="clear" w:color="auto" w:fill="auto"/>
            <w:noWrap/>
            <w:vAlign w:val="bottom"/>
            <w:hideMark/>
          </w:tcPr>
          <w:p w14:paraId="18A1718A"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239</w:t>
            </w:r>
          </w:p>
        </w:tc>
        <w:tc>
          <w:tcPr>
            <w:tcW w:w="1008" w:type="dxa"/>
            <w:shd w:val="clear" w:color="auto" w:fill="auto"/>
            <w:noWrap/>
            <w:vAlign w:val="bottom"/>
            <w:hideMark/>
          </w:tcPr>
          <w:p w14:paraId="048D7834"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94</w:t>
            </w:r>
          </w:p>
        </w:tc>
        <w:tc>
          <w:tcPr>
            <w:tcW w:w="1008" w:type="dxa"/>
            <w:shd w:val="clear" w:color="auto" w:fill="auto"/>
            <w:noWrap/>
            <w:vAlign w:val="bottom"/>
            <w:hideMark/>
          </w:tcPr>
          <w:p w14:paraId="424917CA"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413</w:t>
            </w:r>
          </w:p>
        </w:tc>
        <w:tc>
          <w:tcPr>
            <w:tcW w:w="1008" w:type="dxa"/>
            <w:shd w:val="clear" w:color="auto" w:fill="auto"/>
            <w:noWrap/>
            <w:vAlign w:val="bottom"/>
            <w:hideMark/>
          </w:tcPr>
          <w:p w14:paraId="0922835E"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19%</w:t>
            </w:r>
          </w:p>
        </w:tc>
        <w:tc>
          <w:tcPr>
            <w:tcW w:w="1008" w:type="dxa"/>
            <w:shd w:val="clear" w:color="auto" w:fill="auto"/>
            <w:noWrap/>
            <w:vAlign w:val="bottom"/>
            <w:hideMark/>
          </w:tcPr>
          <w:p w14:paraId="0C165E9B"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58%</w:t>
            </w:r>
          </w:p>
        </w:tc>
        <w:tc>
          <w:tcPr>
            <w:tcW w:w="1008" w:type="dxa"/>
            <w:shd w:val="clear" w:color="auto" w:fill="auto"/>
            <w:noWrap/>
            <w:vAlign w:val="bottom"/>
            <w:hideMark/>
          </w:tcPr>
          <w:p w14:paraId="51380F4A" w14:textId="77777777" w:rsidR="00490403" w:rsidRPr="00490403" w:rsidRDefault="00490403" w:rsidP="00490403">
            <w:pPr>
              <w:rPr>
                <w:rFonts w:ascii="Calibri" w:hAnsi="Calibri" w:cs="Calibri"/>
                <w:color w:val="000000"/>
                <w:sz w:val="16"/>
              </w:rPr>
            </w:pPr>
            <w:r w:rsidRPr="00490403">
              <w:rPr>
                <w:rFonts w:ascii="Calibri" w:hAnsi="Calibri" w:cs="Calibri"/>
                <w:color w:val="000000"/>
                <w:sz w:val="16"/>
              </w:rPr>
              <w:t>23%</w:t>
            </w:r>
          </w:p>
        </w:tc>
      </w:tr>
    </w:tbl>
    <w:p w14:paraId="1EA965C7" w14:textId="77777777" w:rsidR="00047E59" w:rsidRDefault="00047E59" w:rsidP="00804E74">
      <w:pPr>
        <w:keepNext/>
      </w:pPr>
    </w:p>
    <w:p w14:paraId="0C1CD4BF" w14:textId="0251FED2" w:rsidR="00804E74" w:rsidRDefault="00804E74" w:rsidP="00804E74">
      <w:pPr>
        <w:keepNext/>
      </w:pPr>
      <w:r>
        <w:rPr>
          <w:noProof/>
        </w:rPr>
        <w:drawing>
          <wp:inline distT="0" distB="0" distL="0" distR="0" wp14:anchorId="14817DD3" wp14:editId="7A59CC19">
            <wp:extent cx="4114800" cy="2016309"/>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14800" cy="2016309"/>
                    </a:xfrm>
                    <a:prstGeom prst="rect">
                      <a:avLst/>
                    </a:prstGeom>
                    <a:noFill/>
                  </pic:spPr>
                </pic:pic>
              </a:graphicData>
            </a:graphic>
          </wp:inline>
        </w:drawing>
      </w:r>
    </w:p>
    <w:p w14:paraId="307B4F63" w14:textId="061AB831" w:rsidR="00804E74" w:rsidRDefault="00804E74" w:rsidP="00804E74">
      <w:pPr>
        <w:pStyle w:val="Caption"/>
      </w:pPr>
      <w:r>
        <w:t xml:space="preserve">Figure </w:t>
      </w:r>
      <w:r w:rsidR="007F53A0">
        <w:rPr>
          <w:noProof/>
        </w:rPr>
        <w:fldChar w:fldCharType="begin"/>
      </w:r>
      <w:r w:rsidR="007F53A0">
        <w:rPr>
          <w:noProof/>
        </w:rPr>
        <w:instrText xml:space="preserve"> SEQ Figure \* ARABIC </w:instrText>
      </w:r>
      <w:r w:rsidR="007F53A0">
        <w:rPr>
          <w:noProof/>
        </w:rPr>
        <w:fldChar w:fldCharType="separate"/>
      </w:r>
      <w:r w:rsidR="00E91D26">
        <w:rPr>
          <w:noProof/>
        </w:rPr>
        <w:t>8</w:t>
      </w:r>
      <w:r w:rsidR="007F53A0">
        <w:rPr>
          <w:noProof/>
        </w:rPr>
        <w:fldChar w:fldCharType="end"/>
      </w:r>
      <w:r>
        <w:t xml:space="preserve"> </w:t>
      </w:r>
      <w:r w:rsidR="000B01E6">
        <w:t xml:space="preserve">the </w:t>
      </w:r>
      <w:r>
        <w:t>Goal</w:t>
      </w:r>
      <w:r w:rsidR="000B01E6">
        <w:t>s</w:t>
      </w:r>
      <w:r>
        <w:t xml:space="preserve"> and </w:t>
      </w:r>
      <w:r w:rsidR="000B01E6">
        <w:t xml:space="preserve">the </w:t>
      </w:r>
      <w:r>
        <w:t>State</w:t>
      </w:r>
      <w:r w:rsidR="000B01E6">
        <w:t>s’</w:t>
      </w:r>
      <w:r>
        <w:t xml:space="preserve"> Trend</w:t>
      </w:r>
      <w:r w:rsidR="000B01E6">
        <w:t>s</w:t>
      </w:r>
    </w:p>
    <w:p w14:paraId="4B167C43" w14:textId="19998108" w:rsidR="00047E59" w:rsidRDefault="00047E59" w:rsidP="008C42C9">
      <w:r>
        <w:lastRenderedPageBreak/>
        <w:t xml:space="preserve">Because </w:t>
      </w:r>
      <w:r w:rsidR="000B01E6">
        <w:t xml:space="preserve">in </w:t>
      </w:r>
      <w:r>
        <w:t xml:space="preserve">the data set there are still many projects </w:t>
      </w:r>
      <w:r w:rsidR="000B01E6">
        <w:t xml:space="preserve">(413 in total) </w:t>
      </w:r>
      <w:r>
        <w:t xml:space="preserve">above 50000 USD. By using PivotChart, further analysis </w:t>
      </w:r>
      <w:r w:rsidR="00AE4C0A">
        <w:t>is</w:t>
      </w:r>
      <w:r>
        <w:t xml:space="preserve"> applied by expanding the goal range to 100000 USD by the gap of 5000 USD. As shown in the figure 9, the same conclusion shows that when the goal is above $45000, the successful ratio shows a </w:t>
      </w:r>
      <w:r w:rsidR="000B01E6">
        <w:t>significant and stable</w:t>
      </w:r>
      <w:r>
        <w:t xml:space="preserve"> drop off the average </w:t>
      </w:r>
      <w:r w:rsidR="00792C26">
        <w:t>successful ratio as the red line</w:t>
      </w:r>
      <w:r>
        <w:t xml:space="preserve">. </w:t>
      </w:r>
    </w:p>
    <w:p w14:paraId="444D9FE9" w14:textId="77777777" w:rsidR="00047E59" w:rsidRDefault="00933D20" w:rsidP="00047E59">
      <w:pPr>
        <w:keepNext/>
      </w:pPr>
      <w:r>
        <w:rPr>
          <w:noProof/>
        </w:rPr>
        <w:drawing>
          <wp:inline distT="0" distB="0" distL="0" distR="0" wp14:anchorId="7704A8E5" wp14:editId="3A4B1301">
            <wp:extent cx="4114800" cy="2017480"/>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2017480"/>
                    </a:xfrm>
                    <a:prstGeom prst="rect">
                      <a:avLst/>
                    </a:prstGeom>
                    <a:noFill/>
                  </pic:spPr>
                </pic:pic>
              </a:graphicData>
            </a:graphic>
          </wp:inline>
        </w:drawing>
      </w:r>
    </w:p>
    <w:p w14:paraId="19943F43" w14:textId="6987A5FE" w:rsidR="008C42C9" w:rsidRDefault="00047E59" w:rsidP="00047E59">
      <w:pPr>
        <w:pStyle w:val="Caption"/>
      </w:pPr>
      <w:r>
        <w:t xml:space="preserve">Figure </w:t>
      </w:r>
      <w:r w:rsidR="007F53A0">
        <w:rPr>
          <w:noProof/>
        </w:rPr>
        <w:fldChar w:fldCharType="begin"/>
      </w:r>
      <w:r w:rsidR="007F53A0">
        <w:rPr>
          <w:noProof/>
        </w:rPr>
        <w:instrText xml:space="preserve"> SEQ Figure \* ARABIC </w:instrText>
      </w:r>
      <w:r w:rsidR="007F53A0">
        <w:rPr>
          <w:noProof/>
        </w:rPr>
        <w:fldChar w:fldCharType="separate"/>
      </w:r>
      <w:r w:rsidR="00E91D26">
        <w:rPr>
          <w:noProof/>
        </w:rPr>
        <w:t>9</w:t>
      </w:r>
      <w:r w:rsidR="007F53A0">
        <w:rPr>
          <w:noProof/>
        </w:rPr>
        <w:fldChar w:fldCharType="end"/>
      </w:r>
      <w:r>
        <w:t xml:space="preserve"> The Successful Ratio and the Goal</w:t>
      </w:r>
    </w:p>
    <w:p w14:paraId="0BC85A10" w14:textId="1042F589" w:rsidR="00047E59" w:rsidRDefault="00047E59" w:rsidP="00047E59">
      <w:r>
        <w:t xml:space="preserve">Another interesting </w:t>
      </w:r>
      <w:r w:rsidR="000B01E6">
        <w:t>result is presented with the distribution between</w:t>
      </w:r>
      <w:r>
        <w:t xml:space="preserve"> the goal</w:t>
      </w:r>
      <w:r w:rsidR="000B01E6">
        <w:t>s</w:t>
      </w:r>
      <w:r>
        <w:t xml:space="preserve"> and the number of applications</w:t>
      </w:r>
      <w:r w:rsidR="000B01E6">
        <w:t xml:space="preserve"> (</w:t>
      </w:r>
      <w:r w:rsidR="000B01E6">
        <w:t>the Counts of the State</w:t>
      </w:r>
      <w:r w:rsidR="000B01E6">
        <w:t>)</w:t>
      </w:r>
      <w:r>
        <w:t xml:space="preserve"> in the figure 10 below</w:t>
      </w:r>
      <w:r w:rsidR="000B01E6">
        <w:t>.</w:t>
      </w:r>
      <w:r w:rsidR="00792C26">
        <w:t xml:space="preserve"> </w:t>
      </w:r>
      <w:r w:rsidR="000B01E6">
        <w:t>W</w:t>
      </w:r>
      <w:r>
        <w:t>ith the</w:t>
      </w:r>
      <w:r w:rsidR="00792C26">
        <w:t xml:space="preserve"> </w:t>
      </w:r>
      <w:r w:rsidR="000B01E6">
        <w:t xml:space="preserve">high </w:t>
      </w:r>
      <w:r w:rsidR="00792C26">
        <w:t>successful ratio</w:t>
      </w:r>
      <w:r>
        <w:t xml:space="preserve"> </w:t>
      </w:r>
      <w:r w:rsidR="000B01E6">
        <w:t>found</w:t>
      </w:r>
      <w:r>
        <w:t xml:space="preserve"> above, Kickstarter is very suitable </w:t>
      </w:r>
      <w:r w:rsidR="00792C26">
        <w:t xml:space="preserve">for </w:t>
      </w:r>
      <w:r>
        <w:t>funding campaign below 5000 USD.</w:t>
      </w:r>
      <w:r w:rsidR="00792C26">
        <w:t xml:space="preserve"> Historically it ha</w:t>
      </w:r>
      <w:r w:rsidR="00716F4B">
        <w:t>d</w:t>
      </w:r>
      <w:r w:rsidR="00792C26">
        <w:t xml:space="preserve"> </w:t>
      </w:r>
      <w:r w:rsidR="00716F4B">
        <w:t>most</w:t>
      </w:r>
      <w:r w:rsidR="00792C26">
        <w:t xml:space="preserve"> of the application</w:t>
      </w:r>
      <w:r w:rsidR="00716F4B">
        <w:t>s</w:t>
      </w:r>
      <w:r w:rsidR="00792C26">
        <w:t xml:space="preserve"> and the best chance to achieve the goal.</w:t>
      </w:r>
    </w:p>
    <w:p w14:paraId="3A4E1749" w14:textId="77777777" w:rsidR="00E91D26" w:rsidRDefault="00792C26" w:rsidP="00E91D26">
      <w:pPr>
        <w:keepNext/>
      </w:pPr>
      <w:r>
        <w:rPr>
          <w:noProof/>
        </w:rPr>
        <w:drawing>
          <wp:inline distT="0" distB="0" distL="0" distR="0" wp14:anchorId="4FFC76D5" wp14:editId="1B42515B">
            <wp:extent cx="4114800" cy="2017480"/>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2017480"/>
                    </a:xfrm>
                    <a:prstGeom prst="rect">
                      <a:avLst/>
                    </a:prstGeom>
                    <a:noFill/>
                  </pic:spPr>
                </pic:pic>
              </a:graphicData>
            </a:graphic>
          </wp:inline>
        </w:drawing>
      </w:r>
    </w:p>
    <w:p w14:paraId="7E83621F" w14:textId="76140B45" w:rsidR="00047E59" w:rsidRPr="00047E59" w:rsidRDefault="00E91D26" w:rsidP="00E91D26">
      <w:pPr>
        <w:pStyle w:val="Caption"/>
      </w:pPr>
      <w:r>
        <w:t xml:space="preserve">Figure </w:t>
      </w:r>
      <w:r w:rsidR="007F53A0">
        <w:rPr>
          <w:noProof/>
        </w:rPr>
        <w:fldChar w:fldCharType="begin"/>
      </w:r>
      <w:r w:rsidR="007F53A0">
        <w:rPr>
          <w:noProof/>
        </w:rPr>
        <w:instrText xml:space="preserve"> SEQ Figure \* ARABIC </w:instrText>
      </w:r>
      <w:r w:rsidR="007F53A0">
        <w:rPr>
          <w:noProof/>
        </w:rPr>
        <w:fldChar w:fldCharType="separate"/>
      </w:r>
      <w:r>
        <w:rPr>
          <w:noProof/>
        </w:rPr>
        <w:t>10</w:t>
      </w:r>
      <w:r w:rsidR="007F53A0">
        <w:rPr>
          <w:noProof/>
        </w:rPr>
        <w:fldChar w:fldCharType="end"/>
      </w:r>
      <w:r>
        <w:t xml:space="preserve"> </w:t>
      </w:r>
      <w:r w:rsidR="000B01E6">
        <w:t>The</w:t>
      </w:r>
      <w:r>
        <w:t xml:space="preserve"> Goals</w:t>
      </w:r>
      <w:r w:rsidR="000B01E6">
        <w:t xml:space="preserve"> and the Counts of the State</w:t>
      </w:r>
    </w:p>
    <w:p w14:paraId="454902F2" w14:textId="4F40F3EE" w:rsidR="008C42C9" w:rsidRDefault="00E91D26" w:rsidP="004B2234">
      <w:r>
        <w:br w:type="page"/>
      </w:r>
    </w:p>
    <w:p w14:paraId="2687026D" w14:textId="0B0A2629" w:rsidR="008C42C9" w:rsidRPr="00C325DB" w:rsidRDefault="008C42C9" w:rsidP="008C42C9">
      <w:pPr>
        <w:pStyle w:val="Heading2"/>
      </w:pPr>
      <w:r w:rsidRPr="008C42C9">
        <w:lastRenderedPageBreak/>
        <w:t>Data Set limitation and Further Thoughts</w:t>
      </w:r>
    </w:p>
    <w:p w14:paraId="6225B111" w14:textId="0BAB241C" w:rsidR="008C42C9" w:rsidRDefault="00792C26" w:rsidP="004B2234">
      <w:r>
        <w:t xml:space="preserve">The data set itself needs some cleanup. </w:t>
      </w:r>
      <w:r w:rsidR="00593E74">
        <w:t xml:space="preserve">There could be lots of “Junk projects” in the data. By defining P/G ratio as the </w:t>
      </w:r>
      <w:r w:rsidR="00593E74" w:rsidRPr="00593E74">
        <w:t>pledged</w:t>
      </w:r>
      <w:r w:rsidR="00716F4B">
        <w:t xml:space="preserve"> funds</w:t>
      </w:r>
      <w:r w:rsidR="00593E74" w:rsidRPr="00593E74">
        <w:t xml:space="preserve"> in USD</w:t>
      </w:r>
      <w:r w:rsidR="00593E74">
        <w:t xml:space="preserve"> divided by the </w:t>
      </w:r>
      <w:r w:rsidR="00593E74" w:rsidRPr="00593E74">
        <w:t>goal</w:t>
      </w:r>
      <w:r w:rsidR="00716F4B">
        <w:t>s</w:t>
      </w:r>
      <w:r w:rsidR="00593E74" w:rsidRPr="00593E74">
        <w:t xml:space="preserve"> in USD</w:t>
      </w:r>
      <w:r w:rsidR="00593E74">
        <w:t xml:space="preserve">, </w:t>
      </w:r>
      <w:r w:rsidR="00E91D26">
        <w:t xml:space="preserve">there are more than 22% of the total </w:t>
      </w:r>
      <w:r w:rsidR="00716F4B">
        <w:t>campaigns</w:t>
      </w:r>
      <w:r w:rsidR="00E91D26">
        <w:t xml:space="preserve"> received less than 1% of the goal. The creditabilit</w:t>
      </w:r>
      <w:r w:rsidR="00716F4B">
        <w:t>y</w:t>
      </w:r>
      <w:r w:rsidR="00E91D26">
        <w:t xml:space="preserve"> of those project</w:t>
      </w:r>
      <w:r w:rsidR="00952A55">
        <w:t>s</w:t>
      </w:r>
      <w:r w:rsidR="00E91D26">
        <w:t xml:space="preserve"> is very low for an open funding platform without </w:t>
      </w:r>
      <w:r w:rsidR="00716F4B">
        <w:t xml:space="preserve">difficult </w:t>
      </w:r>
      <w:r w:rsidR="00E91D26">
        <w:t>registration</w:t>
      </w:r>
      <w:r w:rsidR="00716F4B">
        <w:t>s</w:t>
      </w:r>
      <w:r w:rsidR="00E91D26">
        <w:t xml:space="preserve">. Even for the other 12% </w:t>
      </w:r>
      <w:r w:rsidR="004D1069">
        <w:t xml:space="preserve">of the total </w:t>
      </w:r>
      <w:r w:rsidR="00E91D26">
        <w:t>project</w:t>
      </w:r>
      <w:r w:rsidR="004D1069">
        <w:t>s</w:t>
      </w:r>
      <w:r w:rsidR="00E91D26">
        <w:t xml:space="preserve"> which received only le</w:t>
      </w:r>
      <w:r w:rsidR="004D1069">
        <w:t>ss</w:t>
      </w:r>
      <w:r w:rsidR="00E91D26">
        <w:t xml:space="preserve"> than 10% of the goal, the sincerity of the project creator</w:t>
      </w:r>
      <w:r w:rsidR="004D1069">
        <w:t>s</w:t>
      </w:r>
      <w:r w:rsidR="00E91D26">
        <w:t xml:space="preserve"> can be questioned. The</w:t>
      </w:r>
      <w:r w:rsidR="00952A55">
        <w:t xml:space="preserve"> </w:t>
      </w:r>
      <w:r w:rsidR="004D1069">
        <w:t>potential</w:t>
      </w:r>
      <w:r w:rsidR="00E91D26">
        <w:t xml:space="preserve"> creators or organizations who will study this dataset to catch the real trend </w:t>
      </w:r>
      <w:r w:rsidR="00716F4B">
        <w:t>or to</w:t>
      </w:r>
      <w:r w:rsidR="00E91D26">
        <w:t xml:space="preserve"> learn some experience may need to only carefully study the re</w:t>
      </w:r>
      <w:r w:rsidR="00952A55">
        <w:t>st of the 68%</w:t>
      </w:r>
      <w:r w:rsidR="004D1069">
        <w:t xml:space="preserve"> “sincere”</w:t>
      </w:r>
      <w:r w:rsidR="00952A55">
        <w:t xml:space="preserve"> cases, where more than 53% (78% of the </w:t>
      </w:r>
      <w:r w:rsidR="004D1069">
        <w:t>“sincere”</w:t>
      </w:r>
      <w:r w:rsidR="00952A55">
        <w:t xml:space="preserve"> cases) are successful cases. </w:t>
      </w:r>
    </w:p>
    <w:p w14:paraId="31F62552" w14:textId="33566B1E" w:rsidR="00E91D26" w:rsidRDefault="003A127F" w:rsidP="00E91D26">
      <w:pPr>
        <w:keepNext/>
      </w:pPr>
      <w:r>
        <w:rPr>
          <w:noProof/>
        </w:rPr>
        <w:drawing>
          <wp:inline distT="0" distB="0" distL="0" distR="0" wp14:anchorId="2EFB45C5" wp14:editId="3FEB2BF5">
            <wp:extent cx="4114800" cy="2012829"/>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14800" cy="2012829"/>
                    </a:xfrm>
                    <a:prstGeom prst="rect">
                      <a:avLst/>
                    </a:prstGeom>
                    <a:noFill/>
                  </pic:spPr>
                </pic:pic>
              </a:graphicData>
            </a:graphic>
          </wp:inline>
        </w:drawing>
      </w:r>
    </w:p>
    <w:p w14:paraId="219E03DB" w14:textId="09DACF93" w:rsidR="008228F4" w:rsidRDefault="00E91D26" w:rsidP="00E91D26">
      <w:pPr>
        <w:pStyle w:val="Caption"/>
      </w:pPr>
      <w:r>
        <w:t xml:space="preserve">Figure </w:t>
      </w:r>
      <w:r w:rsidR="007F53A0">
        <w:rPr>
          <w:noProof/>
        </w:rPr>
        <w:fldChar w:fldCharType="begin"/>
      </w:r>
      <w:r w:rsidR="007F53A0">
        <w:rPr>
          <w:noProof/>
        </w:rPr>
        <w:instrText xml:space="preserve"> SEQ Figure \* ARABIC </w:instrText>
      </w:r>
      <w:r w:rsidR="007F53A0">
        <w:rPr>
          <w:noProof/>
        </w:rPr>
        <w:fldChar w:fldCharType="separate"/>
      </w:r>
      <w:r>
        <w:rPr>
          <w:noProof/>
        </w:rPr>
        <w:t>11</w:t>
      </w:r>
      <w:r w:rsidR="007F53A0">
        <w:rPr>
          <w:noProof/>
        </w:rPr>
        <w:fldChar w:fldCharType="end"/>
      </w:r>
      <w:r>
        <w:t xml:space="preserve"> P/G ratio</w:t>
      </w:r>
    </w:p>
    <w:p w14:paraId="2A59F346" w14:textId="250B8230" w:rsidR="00952A55" w:rsidRDefault="00952A55" w:rsidP="00952A55">
      <w:r>
        <w:t xml:space="preserve">There are </w:t>
      </w:r>
      <w:r w:rsidR="00716F4B">
        <w:t>some other</w:t>
      </w:r>
      <w:r>
        <w:t xml:space="preserve"> impact factors from the Kickstarter which are not included in the dataset. Here </w:t>
      </w:r>
      <w:r w:rsidR="004D1069">
        <w:t>list</w:t>
      </w:r>
      <w:r>
        <w:t xml:space="preserve"> two examples</w:t>
      </w:r>
    </w:p>
    <w:p w14:paraId="6D0643B7" w14:textId="69E1A484" w:rsidR="00952A55" w:rsidRDefault="00952A55" w:rsidP="00952A55">
      <w:pPr>
        <w:pStyle w:val="ListParagraph"/>
        <w:numPr>
          <w:ilvl w:val="0"/>
          <w:numId w:val="3"/>
        </w:numPr>
      </w:pPr>
      <w:r>
        <w:t xml:space="preserve">The search engine </w:t>
      </w:r>
      <w:r w:rsidR="00716F4B">
        <w:t>of Kickstarter for the potential backers</w:t>
      </w:r>
      <w:r>
        <w:t>. The filter</w:t>
      </w:r>
      <w:r w:rsidR="00716F4B">
        <w:t>s</w:t>
      </w:r>
      <w:r>
        <w:t xml:space="preserve"> of the search engine, the number of projects shown on the webpages, and the “Project we love” tag can strongly impact the accessibility for the backers</w:t>
      </w:r>
      <w:r w:rsidR="00716F4B">
        <w:t>’</w:t>
      </w:r>
      <w:r>
        <w:t xml:space="preserve"> selections. </w:t>
      </w:r>
    </w:p>
    <w:p w14:paraId="1932EA5A" w14:textId="52515F4E" w:rsidR="00952A55" w:rsidRPr="00952A55" w:rsidRDefault="00952A55" w:rsidP="00952A55">
      <w:pPr>
        <w:pStyle w:val="ListParagraph"/>
        <w:numPr>
          <w:ilvl w:val="0"/>
          <w:numId w:val="3"/>
        </w:numPr>
      </w:pPr>
      <w:r>
        <w:t xml:space="preserve">The rewarding system. </w:t>
      </w:r>
      <w:r w:rsidR="000020F0">
        <w:t>Due to no investment function</w:t>
      </w:r>
      <w:r w:rsidR="00256697">
        <w:t xml:space="preserve">, </w:t>
      </w:r>
      <w:r w:rsidR="000020F0">
        <w:t xml:space="preserve">one of the major attractions </w:t>
      </w:r>
      <w:r w:rsidR="00716F4B">
        <w:t xml:space="preserve">for the backer </w:t>
      </w:r>
      <w:r w:rsidR="000020F0">
        <w:t>is the instant</w:t>
      </w:r>
      <w:r w:rsidR="00256697">
        <w:t xml:space="preserve"> reward </w:t>
      </w:r>
      <w:r w:rsidR="000020F0">
        <w:t>with</w:t>
      </w:r>
      <w:r w:rsidR="00256697">
        <w:t xml:space="preserve"> the finished project. Project related rewards and project unrelated rewards can be </w:t>
      </w:r>
      <w:r w:rsidR="000020F0">
        <w:t xml:space="preserve">two </w:t>
      </w:r>
      <w:r w:rsidR="00256697">
        <w:t>interesting categories to study</w:t>
      </w:r>
      <w:r w:rsidR="000020F0">
        <w:t xml:space="preserve"> with different sub-categories</w:t>
      </w:r>
      <w:r w:rsidR="00256697">
        <w:t xml:space="preserve">. </w:t>
      </w:r>
      <w:r w:rsidR="000020F0">
        <w:t>Take the</w:t>
      </w:r>
      <w:r w:rsidR="00256697">
        <w:t xml:space="preserve"> food truck </w:t>
      </w:r>
      <w:r w:rsidR="000020F0">
        <w:t xml:space="preserve">as example, this type of campaign </w:t>
      </w:r>
      <w:r w:rsidR="00256697">
        <w:t xml:space="preserve">cannot get </w:t>
      </w:r>
      <w:r w:rsidR="00716F4B">
        <w:t>much</w:t>
      </w:r>
      <w:r w:rsidR="00256697">
        <w:t xml:space="preserve"> funds because they cannot deliver the hot</w:t>
      </w:r>
      <w:r w:rsidR="000020F0">
        <w:t xml:space="preserve"> and </w:t>
      </w:r>
      <w:r w:rsidR="00256697">
        <w:t xml:space="preserve">delicious food </w:t>
      </w:r>
      <w:r w:rsidR="000020F0">
        <w:t>directly</w:t>
      </w:r>
      <w:r w:rsidR="00256697">
        <w:t xml:space="preserve"> from the finished project</w:t>
      </w:r>
      <w:r w:rsidR="000020F0" w:rsidRPr="000020F0">
        <w:t xml:space="preserve"> </w:t>
      </w:r>
      <w:r w:rsidR="000020F0">
        <w:t xml:space="preserve">but </w:t>
      </w:r>
      <w:proofErr w:type="gramStart"/>
      <w:r w:rsidR="000020F0">
        <w:t>have to</w:t>
      </w:r>
      <w:proofErr w:type="gramEnd"/>
      <w:r w:rsidR="000020F0">
        <w:t xml:space="preserve"> use unrelated reward such as T shirt</w:t>
      </w:r>
      <w:r w:rsidR="00716F4B">
        <w:t>.</w:t>
      </w:r>
      <w:r w:rsidR="00256697">
        <w:t xml:space="preserve"> </w:t>
      </w:r>
      <w:r w:rsidR="000020F0">
        <w:t>The</w:t>
      </w:r>
      <w:r w:rsidR="00256697">
        <w:t xml:space="preserve"> experience </w:t>
      </w:r>
      <w:r w:rsidR="000020F0">
        <w:t xml:space="preserve">between </w:t>
      </w:r>
      <w:r w:rsidR="00256697">
        <w:t xml:space="preserve">the </w:t>
      </w:r>
      <w:r w:rsidR="000020F0">
        <w:t>creator and backer through the project is an important sale point of Kickstarter. Without it, the creator only ha</w:t>
      </w:r>
      <w:r w:rsidR="00716F4B">
        <w:t>s</w:t>
      </w:r>
      <w:r w:rsidR="000020F0">
        <w:t xml:space="preserve"> </w:t>
      </w:r>
      <w:r w:rsidR="00256697">
        <w:t xml:space="preserve">the compassion cards to play. </w:t>
      </w:r>
    </w:p>
    <w:p w14:paraId="46069FEE" w14:textId="77777777" w:rsidR="005C1938" w:rsidRDefault="005C1938" w:rsidP="005C1938">
      <w:pPr>
        <w:pStyle w:val="Heading1"/>
      </w:pPr>
      <w:r>
        <w:t>Reference</w:t>
      </w:r>
    </w:p>
    <w:p w14:paraId="07325038" w14:textId="4443AD27" w:rsidR="008228F4" w:rsidRDefault="005C1938" w:rsidP="00D826C1">
      <w:r>
        <w:t xml:space="preserve">[1] </w:t>
      </w:r>
      <w:r w:rsidR="00716F4B">
        <w:t>“</w:t>
      </w:r>
      <w:r w:rsidR="00716F4B" w:rsidRPr="00716F4B">
        <w:t xml:space="preserve"># Unit 1 | Assignment - </w:t>
      </w:r>
      <w:proofErr w:type="spellStart"/>
      <w:r w:rsidR="00716F4B" w:rsidRPr="00716F4B">
        <w:t>KickStart</w:t>
      </w:r>
      <w:proofErr w:type="spellEnd"/>
      <w:r w:rsidR="00716F4B" w:rsidRPr="00716F4B">
        <w:t xml:space="preserve"> My Chart</w:t>
      </w:r>
      <w:r w:rsidR="00716F4B">
        <w:t>”</w:t>
      </w:r>
      <w:r w:rsidR="00FF6867">
        <w:t xml:space="preserve">, </w:t>
      </w:r>
      <w:r w:rsidR="00FF6867" w:rsidRPr="00FF6867">
        <w:t>Trilogy Education Services</w:t>
      </w:r>
      <w:bookmarkStart w:id="1" w:name="_GoBack"/>
      <w:bookmarkEnd w:id="1"/>
    </w:p>
    <w:p w14:paraId="303C3742" w14:textId="77777777" w:rsidR="005C1938" w:rsidRDefault="005C1938" w:rsidP="00D826C1">
      <w:r>
        <w:t>[2]</w:t>
      </w:r>
      <w:r w:rsidRPr="005C1938">
        <w:t xml:space="preserve"> Kickstarter 101</w:t>
      </w:r>
      <w:r>
        <w:t xml:space="preserve">, </w:t>
      </w:r>
      <w:hyperlink r:id="rId18" w:history="1">
        <w:r w:rsidRPr="00674B75">
          <w:rPr>
            <w:rStyle w:val="Hyperlink"/>
          </w:rPr>
          <w:t>https://help.kickstarter.com/hc/en-us/sections/115001095633-Kickstarter-101</w:t>
        </w:r>
      </w:hyperlink>
    </w:p>
    <w:sectPr w:rsidR="005C193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F531E" w14:textId="77777777" w:rsidR="007F53A0" w:rsidRDefault="007F53A0" w:rsidP="00D826C1">
      <w:pPr>
        <w:spacing w:after="0" w:line="240" w:lineRule="auto"/>
      </w:pPr>
      <w:r>
        <w:separator/>
      </w:r>
    </w:p>
  </w:endnote>
  <w:endnote w:type="continuationSeparator" w:id="0">
    <w:p w14:paraId="12C18383" w14:textId="77777777" w:rsidR="007F53A0" w:rsidRDefault="007F53A0" w:rsidP="00D82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ADCC9" w14:textId="7CF7EC78" w:rsidR="00804E74" w:rsidRDefault="00804E74">
    <w:pPr>
      <w:pStyle w:val="Footer"/>
    </w:pPr>
    <w:r>
      <w:t>Homework 1</w:t>
    </w:r>
    <w:r>
      <w:ptab w:relativeTo="margin" w:alignment="center" w:leader="none"/>
    </w:r>
    <w:r>
      <w:t>Wenchao Wang</w:t>
    </w:r>
    <w:r>
      <w:ptab w:relativeTo="margin" w:alignment="right" w:leader="none"/>
    </w:r>
    <w:r>
      <w:t>November 2</w:t>
    </w:r>
    <w:r w:rsidR="000B01E6">
      <w:t>7</w:t>
    </w:r>
    <w:r>
      <w: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8CFDF" w14:textId="77777777" w:rsidR="007F53A0" w:rsidRDefault="007F53A0" w:rsidP="00D826C1">
      <w:pPr>
        <w:spacing w:after="0" w:line="240" w:lineRule="auto"/>
      </w:pPr>
      <w:r>
        <w:separator/>
      </w:r>
    </w:p>
  </w:footnote>
  <w:footnote w:type="continuationSeparator" w:id="0">
    <w:p w14:paraId="3AA392D4" w14:textId="77777777" w:rsidR="007F53A0" w:rsidRDefault="007F53A0" w:rsidP="00D82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45D39"/>
    <w:multiLevelType w:val="hybridMultilevel"/>
    <w:tmpl w:val="70EC8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27C66"/>
    <w:multiLevelType w:val="hybridMultilevel"/>
    <w:tmpl w:val="442CD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B417C"/>
    <w:multiLevelType w:val="hybridMultilevel"/>
    <w:tmpl w:val="00482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6C1"/>
    <w:rsid w:val="000020F0"/>
    <w:rsid w:val="00047E59"/>
    <w:rsid w:val="00077A80"/>
    <w:rsid w:val="000B01E6"/>
    <w:rsid w:val="000C25DD"/>
    <w:rsid w:val="000E7908"/>
    <w:rsid w:val="0014431D"/>
    <w:rsid w:val="001D0D52"/>
    <w:rsid w:val="00256697"/>
    <w:rsid w:val="00282A3E"/>
    <w:rsid w:val="00284233"/>
    <w:rsid w:val="00320DAD"/>
    <w:rsid w:val="003249AD"/>
    <w:rsid w:val="00346027"/>
    <w:rsid w:val="003A127F"/>
    <w:rsid w:val="003B7535"/>
    <w:rsid w:val="003D34D7"/>
    <w:rsid w:val="00437E49"/>
    <w:rsid w:val="00490403"/>
    <w:rsid w:val="004B2234"/>
    <w:rsid w:val="004D1069"/>
    <w:rsid w:val="005150EE"/>
    <w:rsid w:val="00554868"/>
    <w:rsid w:val="00572C3D"/>
    <w:rsid w:val="00593E74"/>
    <w:rsid w:val="005C1938"/>
    <w:rsid w:val="00637637"/>
    <w:rsid w:val="00672A5D"/>
    <w:rsid w:val="0067786D"/>
    <w:rsid w:val="00705C25"/>
    <w:rsid w:val="00716F4B"/>
    <w:rsid w:val="00792C26"/>
    <w:rsid w:val="007F53A0"/>
    <w:rsid w:val="00804E74"/>
    <w:rsid w:val="008228F4"/>
    <w:rsid w:val="00830193"/>
    <w:rsid w:val="0088094C"/>
    <w:rsid w:val="008C42C9"/>
    <w:rsid w:val="00933D20"/>
    <w:rsid w:val="00952A55"/>
    <w:rsid w:val="00971892"/>
    <w:rsid w:val="00A738DE"/>
    <w:rsid w:val="00AD0BE9"/>
    <w:rsid w:val="00AE4C0A"/>
    <w:rsid w:val="00B41B39"/>
    <w:rsid w:val="00BC1738"/>
    <w:rsid w:val="00BF624D"/>
    <w:rsid w:val="00C325DB"/>
    <w:rsid w:val="00CA3A6E"/>
    <w:rsid w:val="00CF110E"/>
    <w:rsid w:val="00D145E5"/>
    <w:rsid w:val="00D826C1"/>
    <w:rsid w:val="00DB50E3"/>
    <w:rsid w:val="00DC1EFA"/>
    <w:rsid w:val="00E007A5"/>
    <w:rsid w:val="00E35A8A"/>
    <w:rsid w:val="00E73C77"/>
    <w:rsid w:val="00E77ED5"/>
    <w:rsid w:val="00E91D26"/>
    <w:rsid w:val="00ED23B9"/>
    <w:rsid w:val="00FF3534"/>
    <w:rsid w:val="00FF6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2B919"/>
  <w15:chartTrackingRefBased/>
  <w15:docId w15:val="{86E307DB-352A-48DB-BF77-04CF25AB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8F4"/>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325DB"/>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6C1"/>
  </w:style>
  <w:style w:type="paragraph" w:styleId="Footer">
    <w:name w:val="footer"/>
    <w:basedOn w:val="Normal"/>
    <w:link w:val="FooterChar"/>
    <w:uiPriority w:val="99"/>
    <w:unhideWhenUsed/>
    <w:rsid w:val="00D82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6C1"/>
  </w:style>
  <w:style w:type="paragraph" w:styleId="Title">
    <w:name w:val="Title"/>
    <w:basedOn w:val="Normal"/>
    <w:next w:val="Normal"/>
    <w:link w:val="TitleChar"/>
    <w:uiPriority w:val="10"/>
    <w:qFormat/>
    <w:rsid w:val="00D826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6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28F4"/>
    <w:rPr>
      <w:rFonts w:asciiTheme="majorHAnsi" w:eastAsiaTheme="majorEastAsia" w:hAnsiTheme="majorHAnsi" w:cstheme="majorBidi"/>
      <w:b/>
      <w:sz w:val="32"/>
      <w:szCs w:val="32"/>
    </w:rPr>
  </w:style>
  <w:style w:type="paragraph" w:styleId="ListParagraph">
    <w:name w:val="List Paragraph"/>
    <w:basedOn w:val="Normal"/>
    <w:uiPriority w:val="34"/>
    <w:qFormat/>
    <w:rsid w:val="00077A80"/>
    <w:pPr>
      <w:ind w:left="720"/>
      <w:contextualSpacing/>
    </w:pPr>
  </w:style>
  <w:style w:type="character" w:styleId="Hyperlink">
    <w:name w:val="Hyperlink"/>
    <w:basedOn w:val="DefaultParagraphFont"/>
    <w:uiPriority w:val="99"/>
    <w:unhideWhenUsed/>
    <w:rsid w:val="005C1938"/>
    <w:rPr>
      <w:color w:val="0563C1" w:themeColor="hyperlink"/>
      <w:u w:val="single"/>
    </w:rPr>
  </w:style>
  <w:style w:type="character" w:styleId="UnresolvedMention">
    <w:name w:val="Unresolved Mention"/>
    <w:basedOn w:val="DefaultParagraphFont"/>
    <w:uiPriority w:val="99"/>
    <w:semiHidden/>
    <w:unhideWhenUsed/>
    <w:rsid w:val="005C1938"/>
    <w:rPr>
      <w:color w:val="605E5C"/>
      <w:shd w:val="clear" w:color="auto" w:fill="E1DFDD"/>
    </w:rPr>
  </w:style>
  <w:style w:type="character" w:customStyle="1" w:styleId="Heading2Char">
    <w:name w:val="Heading 2 Char"/>
    <w:basedOn w:val="DefaultParagraphFont"/>
    <w:link w:val="Heading2"/>
    <w:uiPriority w:val="9"/>
    <w:rsid w:val="00C325DB"/>
    <w:rPr>
      <w:rFonts w:asciiTheme="majorHAnsi" w:eastAsiaTheme="majorEastAsia" w:hAnsiTheme="majorHAnsi" w:cstheme="majorBidi"/>
      <w:b/>
      <w:sz w:val="26"/>
      <w:szCs w:val="26"/>
    </w:rPr>
  </w:style>
  <w:style w:type="paragraph" w:styleId="Caption">
    <w:name w:val="caption"/>
    <w:basedOn w:val="Normal"/>
    <w:next w:val="Normal"/>
    <w:uiPriority w:val="35"/>
    <w:unhideWhenUsed/>
    <w:qFormat/>
    <w:rsid w:val="008C42C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27612">
      <w:bodyDiv w:val="1"/>
      <w:marLeft w:val="0"/>
      <w:marRight w:val="0"/>
      <w:marTop w:val="0"/>
      <w:marBottom w:val="0"/>
      <w:divBdr>
        <w:top w:val="none" w:sz="0" w:space="0" w:color="auto"/>
        <w:left w:val="none" w:sz="0" w:space="0" w:color="auto"/>
        <w:bottom w:val="none" w:sz="0" w:space="0" w:color="auto"/>
        <w:right w:val="none" w:sz="0" w:space="0" w:color="auto"/>
      </w:divBdr>
    </w:div>
    <w:div w:id="712392039">
      <w:bodyDiv w:val="1"/>
      <w:marLeft w:val="0"/>
      <w:marRight w:val="0"/>
      <w:marTop w:val="0"/>
      <w:marBottom w:val="0"/>
      <w:divBdr>
        <w:top w:val="none" w:sz="0" w:space="0" w:color="auto"/>
        <w:left w:val="none" w:sz="0" w:space="0" w:color="auto"/>
        <w:bottom w:val="none" w:sz="0" w:space="0" w:color="auto"/>
        <w:right w:val="none" w:sz="0" w:space="0" w:color="auto"/>
      </w:divBdr>
    </w:div>
    <w:div w:id="1083376063">
      <w:bodyDiv w:val="1"/>
      <w:marLeft w:val="0"/>
      <w:marRight w:val="0"/>
      <w:marTop w:val="0"/>
      <w:marBottom w:val="0"/>
      <w:divBdr>
        <w:top w:val="none" w:sz="0" w:space="0" w:color="auto"/>
        <w:left w:val="none" w:sz="0" w:space="0" w:color="auto"/>
        <w:bottom w:val="none" w:sz="0" w:space="0" w:color="auto"/>
        <w:right w:val="none" w:sz="0" w:space="0" w:color="auto"/>
      </w:divBdr>
    </w:div>
    <w:div w:id="151561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help.kickstarter.com/hc/en-us/sections/115001095633-Kickstarter-10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1821</TotalTime>
  <Pages>8</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Wenchao Wang</dc:creator>
  <cp:keywords/>
  <dc:description/>
  <cp:lastModifiedBy>Wenchao Wang</cp:lastModifiedBy>
  <cp:revision>5</cp:revision>
  <dcterms:created xsi:type="dcterms:W3CDTF">2018-11-24T18:20:00Z</dcterms:created>
  <dcterms:modified xsi:type="dcterms:W3CDTF">2018-11-27T22:00:00Z</dcterms:modified>
</cp:coreProperties>
</file>