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C00000"/>
          <w:sz w:val="16"/>
          <w:szCs w:val="16"/>
        </w:rPr>
        <w:t xml:space="preserve">机密 · CONFIDENTIAL</w:t>
      </w:r>
    </w:p>
    <w:p>
      <w:pPr>
        <w:pBdr>
          <w:bottom w:val="single" w:color="1F3864" w:sz="12" w:space="4"/>
        </w:pBdr>
        <w:spacing w:after="6"/>
      </w:pPr>
      <w:r>
        <w:rPr>
          <w:b/>
          <w:bCs/>
          <w:color w:val="2E74B5"/>
          <w:spacing w:val="20"/>
          <w:sz w:val="18"/>
          <w:szCs w:val="18"/>
        </w:rPr>
        <w:t xml:space="preserve">EXECUTIVE SECURITY &amp; OPERATIONS BRIEF</w:t>
      </w:r>
    </w:p>
    <w:p>
      <w:pPr>
        <w:spacing w:after="40" w:before="60"/>
      </w:pPr>
      <w:r>
        <w:rPr>
          <w:b/>
          <w:bCs/>
          <w:color w:val="1F3864"/>
          <w:sz w:val="40"/>
          <w:szCs w:val="40"/>
        </w:rPr>
        <w:t xml:space="preserve">Chain Serve 系统审计 · 高管简报</w:t>
      </w:r>
    </w:p>
    <w:p>
      <w:pPr>
        <w:spacing w:after="60"/>
      </w:pPr>
      <w:r>
        <w:rPr>
          <w:color w:val="555555"/>
          <w:sz w:val="21"/>
          <w:szCs w:val="21"/>
        </w:rPr>
        <w:t xml:space="preserve">服务器 · 部署 · 代码 三方面问题逐条清单（类型 · 现状 · 建议）</w:t>
      </w:r>
    </w:p>
    <w:p>
      <w:pPr>
        <w:pBdr>
          <w:bottom w:val="single" w:color="CCCCCC" w:sz="4" w:space="4"/>
        </w:pBdr>
        <w:spacing w:after="60"/>
      </w:pPr>
      <w:r>
        <w:rPr>
          <w:color w:val="888888"/>
          <w:sz w:val="17"/>
          <w:szCs w:val="17"/>
        </w:rPr>
        <w:t xml:space="preserve">审计日期 2026-07-15　·　范围：AWS 基础设施 + 三环境部署 + v20260705 前后端代码　·　全程只读，未改动任何资源</w:t>
      </w:r>
    </w:p>
    <w:p>
      <w:pPr>
        <w:pBdr>
          <w:left w:val="single" w:color="2E74B5" w:sz="22" w:space="10"/>
        </w:pBdr>
        <w:shd w:fill="EEF2F8" w:color="auto" w:val="clear"/>
        <w:spacing w:after="160" w:before="40" w:line="280"/>
      </w:pPr>
      <w:r>
        <w:rPr>
          <w:b w:val="false"/>
          <w:bCs w:val="false"/>
          <w:color w:val="334455"/>
        </w:rPr>
        <w:t xml:space="preserve">以下按 </w:t>
      </w:r>
      <w:r>
        <w:rPr>
          <w:b/>
          <w:bCs/>
          <w:color w:val="334455"/>
        </w:rPr>
        <w:t xml:space="preserve">服务器 / 基础设施、部署 / 运维、代码 / 应用</w:t>
      </w:r>
      <w:r>
        <w:rPr>
          <w:b w:val="false"/>
          <w:bCs w:val="false"/>
          <w:color w:val="334455"/>
        </w:rPr>
        <w:t xml:space="preserve"> 三方面，逐条列出本次审计发现的主要问题。每条包含【问题类型 · 现在是什么样 · 建议如何解决】，一个问题一条。服务器与部署方面尽量列全，代码方面仅列影响最大的几条。</w:t>
      </w:r>
    </w:p>
    <w:p>
      <w:pPr>
        <w:pStyle w:val="Heading1"/>
      </w:pPr>
      <w:r>
        <w:rPr>
          <w:b w:val="false"/>
          <w:bCs w:val="false"/>
        </w:rPr>
        <w:t xml:space="preserve">一、服务器 / 基础设施</w:t>
      </w:r>
    </w:p>
    <w:tbl>
      <w:tblPr>
        <w:tblW w:type="dxa" w:w="9746"/>
        <w:tblBorders>
          <w:top w:val="single" w:color="D9D9D9" w:sz="3"/>
          <w:left w:val="single" w:color="D9D9D9" w:sz="3"/>
          <w:bottom w:val="single" w:color="D9D9D9" w:sz="3"/>
          <w:right w:val="single" w:color="D9D9D9" w:sz="3"/>
          <w:insideH w:val="single" w:color="E4E4E4" w:sz="3"/>
          <w:insideV w:val="single" w:color="E4E4E4" w:sz="3"/>
        </w:tblBorders>
      </w:tblPr>
      <w:tblGrid>
        <w:gridCol w:w="720"/>
        <w:gridCol w:w="1320"/>
        <w:gridCol w:w="4860"/>
        <w:gridCol w:w="2846"/>
      </w:tblGrid>
      <w:tr>
        <w:trPr>
          <w:tblHeader/>
        </w:trPr>
        <w:tc>
          <w:tcPr>
            <w:tcW w:type="dxa" w:w="720"/>
            <w:shd w:fill="1F3864" w:color="auto" w:val="clear"/>
            <w:tcMar>
              <w:top w:type="dxa" w:w="42"/>
              <w:left w:type="dxa" w:w="100"/>
              <w:bottom w:type="dxa" w:w="42"/>
              <w:right w:type="dxa" w:w="100"/>
            </w:tcMar>
          </w:tcPr>
          <w:p>
            <w:pPr>
              <w:spacing w:after="0" w:line="250"/>
              <w:jc w:val="left"/>
            </w:pPr>
            <w:r>
              <w:rPr>
                <w:b/>
                <w:bCs/>
                <w:color w:val="FFFFFF"/>
                <w:sz w:val="19"/>
                <w:szCs w:val="19"/>
              </w:rPr>
              <w:t xml:space="preserve">级别</w:t>
            </w:r>
          </w:p>
        </w:tc>
        <w:tc>
          <w:tcPr>
            <w:tcW w:type="dxa" w:w="1320"/>
            <w:shd w:fill="1F3864" w:color="auto" w:val="clear"/>
            <w:tcMar>
              <w:top w:type="dxa" w:w="42"/>
              <w:left w:type="dxa" w:w="100"/>
              <w:bottom w:type="dxa" w:w="42"/>
              <w:right w:type="dxa" w:w="100"/>
            </w:tcMar>
          </w:tcPr>
          <w:p>
            <w:pPr>
              <w:spacing w:after="0" w:line="250"/>
              <w:jc w:val="left"/>
            </w:pPr>
            <w:r>
              <w:rPr>
                <w:b/>
                <w:bCs/>
                <w:color w:val="FFFFFF"/>
                <w:sz w:val="19"/>
                <w:szCs w:val="19"/>
              </w:rPr>
              <w:t xml:space="preserve">类型</w:t>
            </w:r>
          </w:p>
        </w:tc>
        <w:tc>
          <w:tcPr>
            <w:tcW w:type="dxa" w:w="4860"/>
            <w:shd w:fill="1F3864" w:color="auto" w:val="clear"/>
            <w:tcMar>
              <w:top w:type="dxa" w:w="42"/>
              <w:left w:type="dxa" w:w="100"/>
              <w:bottom w:type="dxa" w:w="42"/>
              <w:right w:type="dxa" w:w="100"/>
            </w:tcMar>
          </w:tcPr>
          <w:p>
            <w:pPr>
              <w:spacing w:after="0" w:line="250"/>
              <w:jc w:val="left"/>
            </w:pPr>
            <w:r>
              <w:rPr>
                <w:b/>
                <w:bCs/>
                <w:color w:val="FFFFFF"/>
                <w:sz w:val="19"/>
                <w:szCs w:val="19"/>
              </w:rPr>
              <w:t xml:space="preserve">现状</w:t>
            </w:r>
          </w:p>
        </w:tc>
        <w:tc>
          <w:tcPr>
            <w:tcW w:type="dxa" w:w="2846"/>
            <w:shd w:fill="1F3864" w:color="auto" w:val="clear"/>
            <w:tcMar>
              <w:top w:type="dxa" w:w="42"/>
              <w:left w:type="dxa" w:w="100"/>
              <w:bottom w:type="dxa" w:w="42"/>
              <w:right w:type="dxa" w:w="100"/>
            </w:tcMar>
          </w:tcPr>
          <w:p>
            <w:pPr>
              <w:spacing w:after="0" w:line="250"/>
              <w:jc w:val="left"/>
            </w:pPr>
            <w:r>
              <w:rPr>
                <w:b/>
                <w:bCs/>
                <w:color w:val="FFFFFF"/>
                <w:sz w:val="19"/>
                <w:szCs w:val="19"/>
              </w:rPr>
              <w:t xml:space="preserve">建议解决</w:t>
            </w:r>
          </w:p>
        </w:tc>
      </w:tr>
      <w:tr>
        <w:tc>
          <w:tcPr>
            <w:tcW w:type="dxa" w:w="720"/>
            <w:shd w:fill="FBE4E4" w:color="auto" w:val="clear"/>
            <w:tcMar>
              <w:top w:type="dxa" w:w="42"/>
              <w:left w:type="dxa" w:w="100"/>
              <w:bottom w:type="dxa" w:w="42"/>
              <w:right w:type="dxa" w:w="100"/>
            </w:tcMar>
          </w:tcPr>
          <w:p>
            <w:pPr>
              <w:spacing w:after="0" w:line="250"/>
              <w:jc w:val="center"/>
            </w:pPr>
            <w:r>
              <w:rPr>
                <w:b/>
                <w:bCs/>
                <w:color w:val="C00000"/>
                <w:sz w:val="19"/>
                <w:szCs w:val="19"/>
              </w:rPr>
              <w:t xml:space="preserve">严重</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管理台暴露</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数据库的图形管理后台对整个互联网开放，且登录口令是明文弱密码，任何人都能打开并直接操作数据库。</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立即关闭该后台的公网访问，仅允许经跳板机或内网访问，并改用强口令。</w:t>
            </w:r>
          </w:p>
        </w:tc>
      </w:tr>
      <w:tr>
        <w:tc>
          <w:tcPr>
            <w:tcW w:type="dxa" w:w="720"/>
            <w:shd w:fill="FBE4E4" w:color="auto" w:val="clear"/>
            <w:tcMar>
              <w:top w:type="dxa" w:w="42"/>
              <w:left w:type="dxa" w:w="100"/>
              <w:bottom w:type="dxa" w:w="42"/>
              <w:right w:type="dxa" w:w="100"/>
            </w:tcMar>
          </w:tcPr>
          <w:p>
            <w:pPr>
              <w:spacing w:after="0" w:line="250"/>
              <w:jc w:val="center"/>
            </w:pPr>
            <w:r>
              <w:rPr>
                <w:b/>
                <w:bCs/>
                <w:color w:val="C00000"/>
                <w:sz w:val="19"/>
                <w:szCs w:val="19"/>
              </w:rPr>
              <w:t xml:space="preserve">严重</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数据库暴露</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部分环境的数据库端口直接暴露在公网，配合默认超级管理员账号和弱密码，外部可直接连接或暴力破解。</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关闭数据库端口的公网访问改走内网，停用默认超管，改用权限受限的强口令账号。</w:t>
            </w:r>
          </w:p>
        </w:tc>
      </w:tr>
      <w:tr>
        <w:tc>
          <w:tcPr>
            <w:tcW w:type="dxa" w:w="720"/>
            <w:shd w:fill="FBE4E4" w:color="auto" w:val="clear"/>
            <w:tcMar>
              <w:top w:type="dxa" w:w="42"/>
              <w:left w:type="dxa" w:w="100"/>
              <w:bottom w:type="dxa" w:w="42"/>
              <w:right w:type="dxa" w:w="100"/>
            </w:tcMar>
          </w:tcPr>
          <w:p>
            <w:pPr>
              <w:spacing w:after="0" w:line="250"/>
              <w:jc w:val="center"/>
            </w:pPr>
            <w:r>
              <w:rPr>
                <w:b/>
                <w:bCs/>
                <w:color w:val="C00000"/>
                <w:sz w:val="19"/>
                <w:szCs w:val="19"/>
              </w:rPr>
              <w:t xml:space="preserve">严重</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队列暴露</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消息队列的管理界面对全网开放，而其中流转着短信验证码等敏感内容，外部可直接查看。</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关闭该管理界面的公网访问，仅限内网或跳板机。</w:t>
            </w:r>
          </w:p>
        </w:tc>
      </w:tr>
      <w:tr>
        <w:tc>
          <w:tcPr>
            <w:tcW w:type="dxa" w:w="720"/>
            <w:shd w:fill="FBE4E4" w:color="auto" w:val="clear"/>
            <w:tcMar>
              <w:top w:type="dxa" w:w="42"/>
              <w:left w:type="dxa" w:w="100"/>
              <w:bottom w:type="dxa" w:w="42"/>
              <w:right w:type="dxa" w:w="100"/>
            </w:tcMar>
          </w:tcPr>
          <w:p>
            <w:pPr>
              <w:spacing w:after="0" w:line="250"/>
              <w:jc w:val="center"/>
            </w:pPr>
            <w:r>
              <w:rPr>
                <w:b/>
                <w:bCs/>
                <w:color w:val="C00000"/>
                <w:sz w:val="19"/>
                <w:szCs w:val="19"/>
              </w:rPr>
              <w:t xml:space="preserve">严重</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文件公开</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云存储没有开启公开访问拦截，上传的发票、客户文件和报表都以永久公开链接对全世界可读。</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开启存储桶的公开访问拦截，文件改为私有，通过限时签名链接下发。</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数据备份</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主数据库和 OCR 数据库都跑在单台服务器的容器里，没有任何自动备份、没有多机房冗余，硬盘一旦损坏数据全部丢失，消息队列数据也完全不留存。</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数据库迁移到托管数据库服务，或至少配置定时快照并备份到异地存储。</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资源隔离</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一台服务器上挤了二十多个容器，应用、数据库、缓存、消息队列、构建流水线全在一起，没有资源限制，任何一个组件内存耗尽都可能拖垮整个网站。</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把中间件和构建流水线从应用服务器拆出去，并给每个容器设置内存和 CPU 上限。</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登录暴露</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三台服务器的远程登录端口都对整个互联网开放，只靠密钥单一手段兜底防护。</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将远程登录收敛到固定办公 IP 或跳板机，关闭对全网的开放。</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全开规则</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账号里存在一条放行所有端口、所有协议给全网的网络规则，虽暂未启用，但随时可能被误挂到服务器上造成整机暴露。</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删除该全开规则，所有网络放行按最小必要端口逐条授权。</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服务暴露</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一个 AI 助手服务的端口未做任何身份验证就直接发布到公网，可被外部随意调用并产生费用。</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关闭该端口的公网发布，加上身份验证，仅限内网访问。</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密钥轮换</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部分访问密钥一年半未更换，本次审计使用的密钥已在沟通中出现，个别账号还存在两把同时有效的密钥，轮换流程不闭环。</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立即轮换已暴露和长期未更换的密钥，建立定期强制轮换并停用旧密钥的流程。</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密钥托管</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没有使用任何托管的密钥保管服务，所有密码和密钥都以明文形式散落在配置文件和流水线变量里流转。</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引入托管密钥服务集中保管，代码和配置中不再出现明文密钥。</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网络分区</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所有服务器都跑在云平台自带的默认网络里，应用、数据库、中间件全挤在同一张扁平的公网子网中，敏感组件没有隔离进不能被公网直连的内网子网。</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建立专用网络并划分内外网子网，把数据库和中间件放进只能内网访问的私有子网。</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弱凭据</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数据库使用默认的超级管理员账号，消息队列使用出厂默认的 guest/guest 口令。</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停用默认账号，全部改为强口令的专用账号。</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边缘防护</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整个系统没有负载均衡、内容分发和 Web 防火墙，也没有统一的加密与限流层，全部流量压在单台代理上，构成单点故障。</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前置负载均衡与 Web 防火墙，统一传输加密与访问限流。</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配置管理</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基础设施自动化只覆盖了一台服务器，其余机器都是手工在控制台点出来的，没有版本管理，配置漂移且无法一键重建。</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用基础设施即代码统一纳管全部服务器和网络规则。</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账号隔离</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本产品与另一个产品共用同一个云账号，计费和权限边界混在一起，既难核算成本也难隔离风险。</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为不同产品拆分独立账号，或至少建立独立的权限与计费边界。</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密钥卫生</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开发者使用各自的个人长期密钥直接连接生产资源，权限过大且难以追溯。</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改用按需申请的临时凭据和最小权限角色，取消个人长期密钥直连。</w:t>
            </w:r>
          </w:p>
        </w:tc>
      </w:tr>
      <w:tr>
        <w:tc>
          <w:tcPr>
            <w:tcW w:type="dxa" w:w="720"/>
            <w:shd w:fill="EFEFEF" w:color="auto" w:val="clear"/>
            <w:tcMar>
              <w:top w:type="dxa" w:w="42"/>
              <w:left w:type="dxa" w:w="100"/>
              <w:bottom w:type="dxa" w:w="42"/>
              <w:right w:type="dxa" w:w="100"/>
            </w:tcMar>
          </w:tcPr>
          <w:p>
            <w:pPr>
              <w:spacing w:after="0" w:line="250"/>
              <w:jc w:val="center"/>
            </w:pPr>
            <w:r>
              <w:rPr>
                <w:b/>
                <w:bCs/>
                <w:color w:val="7F7F7F"/>
                <w:sz w:val="19"/>
                <w:szCs w:val="19"/>
              </w:rPr>
              <w:t xml:space="preserve">低</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发信卫生</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生产用的邮件发信服务里混进了一大批一次性测试邮箱作为已验证发信身份，和正式对外发信地址堆在一起，既杂乱又容易被误用。</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清理这些一次性测试发信身份，只保留正式业务需要的对外发信地址。</w:t>
            </w:r>
          </w:p>
        </w:tc>
      </w:tr>
      <w:tr>
        <w:tc>
          <w:tcPr>
            <w:tcW w:type="dxa" w:w="720"/>
            <w:shd w:fill="EFEFEF" w:color="auto" w:val="clear"/>
            <w:tcMar>
              <w:top w:type="dxa" w:w="42"/>
              <w:left w:type="dxa" w:w="100"/>
              <w:bottom w:type="dxa" w:w="42"/>
              <w:right w:type="dxa" w:w="100"/>
            </w:tcMar>
          </w:tcPr>
          <w:p>
            <w:pPr>
              <w:spacing w:after="0" w:line="250"/>
              <w:jc w:val="center"/>
            </w:pPr>
            <w:r>
              <w:rPr>
                <w:b/>
                <w:bCs/>
                <w:color w:val="7F7F7F"/>
                <w:sz w:val="19"/>
                <w:szCs w:val="19"/>
              </w:rPr>
              <w:t xml:space="preserve">低</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闲置计费</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有四个未使用的固定公网 IP 仍在持续产生费用。</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释放这些闲置的固定公网 IP。</w:t>
            </w:r>
          </w:p>
        </w:tc>
      </w:tr>
      <w:tr>
        <w:tc>
          <w:tcPr>
            <w:tcW w:type="dxa" w:w="720"/>
            <w:shd w:fill="EFEFEF" w:color="auto" w:val="clear"/>
            <w:tcMar>
              <w:top w:type="dxa" w:w="42"/>
              <w:left w:type="dxa" w:w="100"/>
              <w:bottom w:type="dxa" w:w="42"/>
              <w:right w:type="dxa" w:w="100"/>
            </w:tcMar>
          </w:tcPr>
          <w:p>
            <w:pPr>
              <w:spacing w:after="0" w:line="250"/>
              <w:jc w:val="center"/>
            </w:pPr>
            <w:r>
              <w:rPr>
                <w:b/>
                <w:bCs/>
                <w:color w:val="7F7F7F"/>
                <w:sz w:val="19"/>
                <w:szCs w:val="19"/>
              </w:rPr>
              <w:t xml:space="preserve">低</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闲置资源</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有一台已停机的旧服务器仍在占用磁盘产生费用。</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确认无用后清理该实例及其磁盘快照。</w:t>
            </w:r>
          </w:p>
        </w:tc>
      </w:tr>
    </w:tbl>
    <w:p>
      <w:pPr>
        <w:pStyle w:val="Heading1"/>
      </w:pPr>
      <w:r>
        <w:rPr>
          <w:b w:val="false"/>
          <w:bCs w:val="false"/>
        </w:rPr>
        <w:t xml:space="preserve">二、部署 / 运维</w:t>
      </w:r>
    </w:p>
    <w:tbl>
      <w:tblPr>
        <w:tblW w:type="dxa" w:w="9746"/>
        <w:tblBorders>
          <w:top w:val="single" w:color="D9D9D9" w:sz="3"/>
          <w:left w:val="single" w:color="D9D9D9" w:sz="3"/>
          <w:bottom w:val="single" w:color="D9D9D9" w:sz="3"/>
          <w:right w:val="single" w:color="D9D9D9" w:sz="3"/>
          <w:insideH w:val="single" w:color="E4E4E4" w:sz="3"/>
          <w:insideV w:val="single" w:color="E4E4E4" w:sz="3"/>
        </w:tblBorders>
      </w:tblPr>
      <w:tblGrid>
        <w:gridCol w:w="720"/>
        <w:gridCol w:w="1320"/>
        <w:gridCol w:w="4860"/>
        <w:gridCol w:w="2846"/>
      </w:tblGrid>
      <w:tr>
        <w:trPr>
          <w:tblHeader/>
        </w:trPr>
        <w:tc>
          <w:tcPr>
            <w:tcW w:type="dxa" w:w="720"/>
            <w:shd w:fill="1F3864" w:color="auto" w:val="clear"/>
            <w:tcMar>
              <w:top w:type="dxa" w:w="42"/>
              <w:left w:type="dxa" w:w="100"/>
              <w:bottom w:type="dxa" w:w="42"/>
              <w:right w:type="dxa" w:w="100"/>
            </w:tcMar>
          </w:tcPr>
          <w:p>
            <w:pPr>
              <w:spacing w:after="0" w:line="250"/>
              <w:jc w:val="left"/>
            </w:pPr>
            <w:r>
              <w:rPr>
                <w:b/>
                <w:bCs/>
                <w:color w:val="FFFFFF"/>
                <w:sz w:val="19"/>
                <w:szCs w:val="19"/>
              </w:rPr>
              <w:t xml:space="preserve">级别</w:t>
            </w:r>
          </w:p>
        </w:tc>
        <w:tc>
          <w:tcPr>
            <w:tcW w:type="dxa" w:w="1320"/>
            <w:shd w:fill="1F3864" w:color="auto" w:val="clear"/>
            <w:tcMar>
              <w:top w:type="dxa" w:w="42"/>
              <w:left w:type="dxa" w:w="100"/>
              <w:bottom w:type="dxa" w:w="42"/>
              <w:right w:type="dxa" w:w="100"/>
            </w:tcMar>
          </w:tcPr>
          <w:p>
            <w:pPr>
              <w:spacing w:after="0" w:line="250"/>
              <w:jc w:val="left"/>
            </w:pPr>
            <w:r>
              <w:rPr>
                <w:b/>
                <w:bCs/>
                <w:color w:val="FFFFFF"/>
                <w:sz w:val="19"/>
                <w:szCs w:val="19"/>
              </w:rPr>
              <w:t xml:space="preserve">类型</w:t>
            </w:r>
          </w:p>
        </w:tc>
        <w:tc>
          <w:tcPr>
            <w:tcW w:type="dxa" w:w="4860"/>
            <w:shd w:fill="1F3864" w:color="auto" w:val="clear"/>
            <w:tcMar>
              <w:top w:type="dxa" w:w="42"/>
              <w:left w:type="dxa" w:w="100"/>
              <w:bottom w:type="dxa" w:w="42"/>
              <w:right w:type="dxa" w:w="100"/>
            </w:tcMar>
          </w:tcPr>
          <w:p>
            <w:pPr>
              <w:spacing w:after="0" w:line="250"/>
              <w:jc w:val="left"/>
            </w:pPr>
            <w:r>
              <w:rPr>
                <w:b/>
                <w:bCs/>
                <w:color w:val="FFFFFF"/>
                <w:sz w:val="19"/>
                <w:szCs w:val="19"/>
              </w:rPr>
              <w:t xml:space="preserve">现状</w:t>
            </w:r>
          </w:p>
        </w:tc>
        <w:tc>
          <w:tcPr>
            <w:tcW w:type="dxa" w:w="2846"/>
            <w:shd w:fill="1F3864" w:color="auto" w:val="clear"/>
            <w:tcMar>
              <w:top w:type="dxa" w:w="42"/>
              <w:left w:type="dxa" w:w="100"/>
              <w:bottom w:type="dxa" w:w="42"/>
              <w:right w:type="dxa" w:w="100"/>
            </w:tcMar>
          </w:tcPr>
          <w:p>
            <w:pPr>
              <w:spacing w:after="0" w:line="250"/>
              <w:jc w:val="left"/>
            </w:pPr>
            <w:r>
              <w:rPr>
                <w:b/>
                <w:bCs/>
                <w:color w:val="FFFFFF"/>
                <w:sz w:val="19"/>
                <w:szCs w:val="19"/>
              </w:rPr>
              <w:t xml:space="preserve">建议解决</w:t>
            </w:r>
          </w:p>
        </w:tc>
      </w:tr>
      <w:tr>
        <w:tc>
          <w:tcPr>
            <w:tcW w:type="dxa" w:w="720"/>
            <w:shd w:fill="FBE4E4" w:color="auto" w:val="clear"/>
            <w:tcMar>
              <w:top w:type="dxa" w:w="42"/>
              <w:left w:type="dxa" w:w="100"/>
              <w:bottom w:type="dxa" w:w="42"/>
              <w:right w:type="dxa" w:w="100"/>
            </w:tcMar>
          </w:tcPr>
          <w:p>
            <w:pPr>
              <w:spacing w:after="0" w:line="250"/>
              <w:jc w:val="center"/>
            </w:pPr>
            <w:r>
              <w:rPr>
                <w:b/>
                <w:bCs/>
                <w:color w:val="C00000"/>
                <w:sz w:val="19"/>
                <w:szCs w:val="19"/>
              </w:rPr>
              <w:t xml:space="preserve">严重</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密钥泄露</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一批真实可用的对外服务密钥（云存储、短信、AI、企业邮箱等）以明文形式保存在工作目录的配置文件里，任何拿到文件的人都能直接盗用相关账户、产生费用或冒名发信，必须一律当作已经泄露处理。</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立即轮换所有涉及的密钥，改由统一的密钥管理服务集中托管，本地和代码仓库中不再保留任何明文密钥。</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生产调试</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名义上的生产环境开着调试模式，接口一旦出错就会把系统内部的完整错误细节和结构直接返回给外部访问者，等于把内部情况主动暴露给潜在攻击者。</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生产环境关闭调试模式，出错时只返回简要提示、绝不外泄内部堆栈与结构。</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发布权限</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自动发布 / 构建程序被赋予了对服务器的最高控制权限，而且就运行在生产服务器本机上，一旦发布流程被人做了手脚，整台生产服务器都可能被接管。</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让发布程序在隔离环境中用独立受限账号运行、与生产分机部署，并收回其对宿主机的高危权限。</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镜像托管</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系统的核心程序镜像托管在某位个人的私人账号下，一旦此人离职或账号丢失，整个部署将无法拉取镜像而中断供应。</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将镜像迁移到公司 / 组织统一的镜像仓库，停用个人账号托管。</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发布停机</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每次上线都会先把服务全部停掉再重启，期间用户无法访问；而且每次都自动执行数据库变更，一旦变更失败整个发布就会卡住。</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改为不停机的滚动 / 蓝绿发布，并把数据库变更与发布解耦、加入失败自动回滚。</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日志泄露</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密钥在发布过程中会先落到磁盘再注入，而且前端发布流程曾把整份密钥配置打印进构建日志，等于在日志里留下了一份明文密钥。</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发布过程禁止把任何密钥打印到日志，密钥改为运行时注入、用完不落盘，并把密钥文件排除出代码仓库。</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密钥扩散</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部署时把包含全部密钥的整份配置一股脑塞进了第三方的管理工具容器，让本不需要这些密钥的外部组件也持有全量密钥，扩大了泄露面。</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只给每个组件注入它真正需要的少量配置，不把全量密钥交给第三方组件。</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镜像依赖</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消息队列组件的运行镜像依赖前开发团队自建的私有镜像仓库，交接后一旦该仓库停用或我方失去访问权限，这个组件就无法重新拉取和部署。</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把该镜像迁入公司统一托管的镜像仓库，消除对外部私有仓库的依赖。</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认证配置</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消息队列管理后台的登录认证配置写法可疑，可能被系统解析成『无需登录』，导致高权限管理界面在无认证状态下暴露。</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核对并修正该后台的认证配置，确认登录保护确实生效。</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环境隔离</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预发布环境实际上完全套用了生产环境的配置、没有独立区分，容易造成误操作，把预发布当成生产或把生产当成预发布。</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为预发布环境建立独立且命名清晰的配置，与生产明确区分开。</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回滚能力</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发布用完的文件随即被清理，服务器上无法本地复现问题，出问题只能重跑整条流水线，缺少快速回退到上一稳定版本的机制。</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建立版本化的镜像标签与一键回滚机制，出问题可快速切回上一个稳定版本。</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生产日志</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生产环境把所有数据库查询语句都打印到日志，既影响性能又可能泄露敏感数据。</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关闭生产环境的全量查询语句打印。</w:t>
            </w:r>
          </w:p>
        </w:tc>
      </w:tr>
      <w:tr>
        <w:tc>
          <w:tcPr>
            <w:tcW w:type="dxa" w:w="720"/>
            <w:shd w:fill="FFF6D8" w:color="auto" w:val="clear"/>
            <w:tcMar>
              <w:top w:type="dxa" w:w="42"/>
              <w:left w:type="dxa" w:w="100"/>
              <w:bottom w:type="dxa" w:w="42"/>
              <w:right w:type="dxa" w:w="100"/>
            </w:tcMar>
          </w:tcPr>
          <w:p>
            <w:pPr>
              <w:spacing w:after="0" w:line="250"/>
              <w:jc w:val="center"/>
            </w:pPr>
            <w:r>
              <w:rPr>
                <w:b/>
                <w:bCs/>
                <w:color w:val="BF8F00"/>
                <w:sz w:val="19"/>
                <w:szCs w:val="19"/>
              </w:rPr>
              <w:t xml:space="preserve">中</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配置错误</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云存储的几个配置项疑似填反（例如把区域填成了存储桶名称），目前可能只是碰巧能用，存在随时失效或指向错误位置的隐患。</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核对并更正云存储相关配置项，确保每一项取值的含义正确。</w:t>
            </w:r>
          </w:p>
        </w:tc>
      </w:tr>
      <w:tr>
        <w:tc>
          <w:tcPr>
            <w:tcW w:type="dxa" w:w="720"/>
            <w:shd w:fill="EFEFEF" w:color="auto" w:val="clear"/>
            <w:tcMar>
              <w:top w:type="dxa" w:w="42"/>
              <w:left w:type="dxa" w:w="100"/>
              <w:bottom w:type="dxa" w:w="42"/>
              <w:right w:type="dxa" w:w="100"/>
            </w:tcMar>
          </w:tcPr>
          <w:p>
            <w:pPr>
              <w:spacing w:after="0" w:line="250"/>
              <w:jc w:val="center"/>
            </w:pPr>
            <w:r>
              <w:rPr>
                <w:b/>
                <w:bCs/>
                <w:color w:val="7F7F7F"/>
                <w:sz w:val="19"/>
                <w:szCs w:val="19"/>
              </w:rPr>
              <w:t xml:space="preserve">低</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端口配置</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配置中声明的服务端口与实际对外网关端口是否一致尚未核实，存在配置不一致导致访问异常的隐患。</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核对并统一服务端口与网关端口配置。</w:t>
            </w:r>
          </w:p>
        </w:tc>
      </w:tr>
    </w:tbl>
    <w:p>
      <w:pPr>
        <w:pStyle w:val="Heading1"/>
      </w:pPr>
      <w:r>
        <w:rPr>
          <w:b w:val="false"/>
          <w:bCs w:val="false"/>
        </w:rPr>
        <w:t xml:space="preserve">三、代码 / 应用（仅列影响最大的几条）</w:t>
      </w:r>
    </w:p>
    <w:tbl>
      <w:tblPr>
        <w:tblW w:type="dxa" w:w="9746"/>
        <w:tblBorders>
          <w:top w:val="single" w:color="D9D9D9" w:sz="3"/>
          <w:left w:val="single" w:color="D9D9D9" w:sz="3"/>
          <w:bottom w:val="single" w:color="D9D9D9" w:sz="3"/>
          <w:right w:val="single" w:color="D9D9D9" w:sz="3"/>
          <w:insideH w:val="single" w:color="E4E4E4" w:sz="3"/>
          <w:insideV w:val="single" w:color="E4E4E4" w:sz="3"/>
        </w:tblBorders>
      </w:tblPr>
      <w:tblGrid>
        <w:gridCol w:w="720"/>
        <w:gridCol w:w="1320"/>
        <w:gridCol w:w="4860"/>
        <w:gridCol w:w="2846"/>
      </w:tblGrid>
      <w:tr>
        <w:trPr>
          <w:tblHeader/>
        </w:trPr>
        <w:tc>
          <w:tcPr>
            <w:tcW w:type="dxa" w:w="720"/>
            <w:shd w:fill="1F3864" w:color="auto" w:val="clear"/>
            <w:tcMar>
              <w:top w:type="dxa" w:w="42"/>
              <w:left w:type="dxa" w:w="100"/>
              <w:bottom w:type="dxa" w:w="42"/>
              <w:right w:type="dxa" w:w="100"/>
            </w:tcMar>
          </w:tcPr>
          <w:p>
            <w:pPr>
              <w:spacing w:after="0" w:line="250"/>
              <w:jc w:val="left"/>
            </w:pPr>
            <w:r>
              <w:rPr>
                <w:b/>
                <w:bCs/>
                <w:color w:val="FFFFFF"/>
                <w:sz w:val="19"/>
                <w:szCs w:val="19"/>
              </w:rPr>
              <w:t xml:space="preserve">级别</w:t>
            </w:r>
          </w:p>
        </w:tc>
        <w:tc>
          <w:tcPr>
            <w:tcW w:type="dxa" w:w="1320"/>
            <w:shd w:fill="1F3864" w:color="auto" w:val="clear"/>
            <w:tcMar>
              <w:top w:type="dxa" w:w="42"/>
              <w:left w:type="dxa" w:w="100"/>
              <w:bottom w:type="dxa" w:w="42"/>
              <w:right w:type="dxa" w:w="100"/>
            </w:tcMar>
          </w:tcPr>
          <w:p>
            <w:pPr>
              <w:spacing w:after="0" w:line="250"/>
              <w:jc w:val="left"/>
            </w:pPr>
            <w:r>
              <w:rPr>
                <w:b/>
                <w:bCs/>
                <w:color w:val="FFFFFF"/>
                <w:sz w:val="19"/>
                <w:szCs w:val="19"/>
              </w:rPr>
              <w:t xml:space="preserve">类型</w:t>
            </w:r>
          </w:p>
        </w:tc>
        <w:tc>
          <w:tcPr>
            <w:tcW w:type="dxa" w:w="4860"/>
            <w:shd w:fill="1F3864" w:color="auto" w:val="clear"/>
            <w:tcMar>
              <w:top w:type="dxa" w:w="42"/>
              <w:left w:type="dxa" w:w="100"/>
              <w:bottom w:type="dxa" w:w="42"/>
              <w:right w:type="dxa" w:w="100"/>
            </w:tcMar>
          </w:tcPr>
          <w:p>
            <w:pPr>
              <w:spacing w:after="0" w:line="250"/>
              <w:jc w:val="left"/>
            </w:pPr>
            <w:r>
              <w:rPr>
                <w:b/>
                <w:bCs/>
                <w:color w:val="FFFFFF"/>
                <w:sz w:val="19"/>
                <w:szCs w:val="19"/>
              </w:rPr>
              <w:t xml:space="preserve">现状</w:t>
            </w:r>
          </w:p>
        </w:tc>
        <w:tc>
          <w:tcPr>
            <w:tcW w:type="dxa" w:w="2846"/>
            <w:shd w:fill="1F3864" w:color="auto" w:val="clear"/>
            <w:tcMar>
              <w:top w:type="dxa" w:w="42"/>
              <w:left w:type="dxa" w:w="100"/>
              <w:bottom w:type="dxa" w:w="42"/>
              <w:right w:type="dxa" w:w="100"/>
            </w:tcMar>
          </w:tcPr>
          <w:p>
            <w:pPr>
              <w:spacing w:after="0" w:line="250"/>
              <w:jc w:val="left"/>
            </w:pPr>
            <w:r>
              <w:rPr>
                <w:b/>
                <w:bCs/>
                <w:color w:val="FFFFFF"/>
                <w:sz w:val="19"/>
                <w:szCs w:val="19"/>
              </w:rPr>
              <w:t xml:space="preserve">建议解决</w:t>
            </w:r>
          </w:p>
        </w:tc>
      </w:tr>
      <w:tr>
        <w:tc>
          <w:tcPr>
            <w:tcW w:type="dxa" w:w="720"/>
            <w:shd w:fill="FBE4E4" w:color="auto" w:val="clear"/>
            <w:tcMar>
              <w:top w:type="dxa" w:w="42"/>
              <w:left w:type="dxa" w:w="100"/>
              <w:bottom w:type="dxa" w:w="42"/>
              <w:right w:type="dxa" w:w="100"/>
            </w:tcMar>
          </w:tcPr>
          <w:p>
            <w:pPr>
              <w:spacing w:after="0" w:line="250"/>
              <w:jc w:val="center"/>
            </w:pPr>
            <w:r>
              <w:rPr>
                <w:b/>
                <w:bCs/>
                <w:color w:val="C00000"/>
                <w:sz w:val="19"/>
                <w:szCs w:val="19"/>
              </w:rPr>
              <w:t xml:space="preserve">严重</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越权访问</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任何一个正常登录的客户，只要名下有一个门店或公司，就能通过篡改请求里的参数去读取、修改甚至删除其他客户公司的订单、商品和发票；这个问题覆盖了系统里大量业务接口，等于多租户之间的数据隔离形同虚设。</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权限校验必须始终针对用户实际要操作的那条数据本身来做，禁止用客户端可篡改的参数绕过，并在数据读写环节对数据归属再做一次校验。</w:t>
            </w:r>
          </w:p>
        </w:tc>
      </w:tr>
      <w:tr>
        <w:tc>
          <w:tcPr>
            <w:tcW w:type="dxa" w:w="720"/>
            <w:shd w:fill="FBE4E4" w:color="auto" w:val="clear"/>
            <w:tcMar>
              <w:top w:type="dxa" w:w="42"/>
              <w:left w:type="dxa" w:w="100"/>
              <w:bottom w:type="dxa" w:w="42"/>
              <w:right w:type="dxa" w:w="100"/>
            </w:tcMar>
          </w:tcPr>
          <w:p>
            <w:pPr>
              <w:spacing w:after="0" w:line="250"/>
              <w:jc w:val="center"/>
            </w:pPr>
            <w:r>
              <w:rPr>
                <w:b/>
                <w:bCs/>
                <w:color w:val="C00000"/>
                <w:sz w:val="19"/>
                <w:szCs w:val="19"/>
              </w:rPr>
              <w:t xml:space="preserve">严重</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资金篡改</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任意一个普通客户可以对别家公司的订单发票伪造『已收款 / 已退款』记录，并把真实的账户余额划拨给任意餐厅，直接导致账目被篡改和资金损失。</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所有记账和退款相关操作在执行前，必须先确认该发票和订单确实属于当前用户所在的公司，彻底杜绝跨公司记账与划款。</w:t>
            </w:r>
          </w:p>
        </w:tc>
      </w:tr>
      <w:tr>
        <w:tc>
          <w:tcPr>
            <w:tcW w:type="dxa" w:w="720"/>
            <w:shd w:fill="FBE4E4" w:color="auto" w:val="clear"/>
            <w:tcMar>
              <w:top w:type="dxa" w:w="42"/>
              <w:left w:type="dxa" w:w="100"/>
              <w:bottom w:type="dxa" w:w="42"/>
              <w:right w:type="dxa" w:w="100"/>
            </w:tcMar>
          </w:tcPr>
          <w:p>
            <w:pPr>
              <w:spacing w:after="0" w:line="250"/>
              <w:jc w:val="center"/>
            </w:pPr>
            <w:r>
              <w:rPr>
                <w:b/>
                <w:bCs/>
                <w:color w:val="C00000"/>
                <w:sz w:val="19"/>
                <w:szCs w:val="19"/>
              </w:rPr>
              <w:t xml:space="preserve">严重</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权限提升</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一个只有普通管理权限的成员，可以把自己或同伙的角色提升到最高权限（相当于公司所有者），还能越权修改系统里任意其他公司团队成员的资料和归属。</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修改成员信息前必须确认操作者对目标成员所属的公司确实拥有权限，并限制普通成员不得给他人授予最高权限角色。</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账户接管</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邮箱和短信验证码没有失败次数限制、也不会锁定，攻击者只要知道对方邮箱，就能反复猜测 6 位验证码，一旦猜中即可重置密码、完全接管任意用户（包括管理员）的账户。</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给验证码增加失败次数限制和锁定机制、缩短有效期，并对验证和重置密码相关接口按 IP 和账户做频率限制。</w:t>
            </w:r>
          </w:p>
        </w:tc>
      </w:tr>
      <w:tr>
        <w:tc>
          <w:tcPr>
            <w:tcW w:type="dxa" w:w="720"/>
            <w:shd w:fill="FCE9DC" w:color="auto" w:val="clear"/>
            <w:tcMar>
              <w:top w:type="dxa" w:w="42"/>
              <w:left w:type="dxa" w:w="100"/>
              <w:bottom w:type="dxa" w:w="42"/>
              <w:right w:type="dxa" w:w="100"/>
            </w:tcMar>
          </w:tcPr>
          <w:p>
            <w:pPr>
              <w:spacing w:after="0" w:line="250"/>
              <w:jc w:val="center"/>
            </w:pPr>
            <w:r>
              <w:rPr>
                <w:b/>
                <w:bCs/>
                <w:color w:val="C55A11"/>
                <w:sz w:val="19"/>
                <w:szCs w:val="19"/>
              </w:rPr>
              <w:t xml:space="preserve">高</w:t>
            </w:r>
          </w:p>
        </w:tc>
        <w:tc>
          <w:tcPr>
            <w:tcW w:type="dxa" w:w="1320"/>
            <w:tcMar>
              <w:top w:type="dxa" w:w="42"/>
              <w:left w:type="dxa" w:w="100"/>
              <w:bottom w:type="dxa" w:w="42"/>
              <w:right w:type="dxa" w:w="100"/>
            </w:tcMar>
          </w:tcPr>
          <w:p>
            <w:pPr>
              <w:spacing w:after="0" w:line="250"/>
              <w:jc w:val="left"/>
            </w:pPr>
            <w:r>
              <w:rPr>
                <w:b/>
                <w:bCs/>
                <w:color w:val="1F4E79"/>
                <w:sz w:val="19"/>
                <w:szCs w:val="19"/>
              </w:rPr>
              <w:t xml:space="preserve">令牌窃取</w:t>
            </w:r>
          </w:p>
        </w:tc>
        <w:tc>
          <w:tcPr>
            <w:tcW w:type="dxa" w:w="4860"/>
            <w:tcMar>
              <w:top w:type="dxa" w:w="42"/>
              <w:left w:type="dxa" w:w="100"/>
              <w:bottom w:type="dxa" w:w="42"/>
              <w:right w:type="dxa" w:w="100"/>
            </w:tcMar>
          </w:tcPr>
          <w:p>
            <w:pPr>
              <w:spacing w:after="0" w:line="250"/>
              <w:jc w:val="left"/>
            </w:pPr>
            <w:r>
              <w:rPr>
                <w:b w:val="false"/>
                <w:bCs w:val="false"/>
                <w:sz w:val="19"/>
                <w:szCs w:val="19"/>
              </w:rPr>
              <w:t xml:space="preserve">登录令牌（含长期有效的刷新令牌）存放在浏览器本地，且充当后端门禁的密钥被打进了公开的前端代码，前端一旦被注入恶意脚本即可窃取令牌、完整接管账户，网关密钥也人人可从前端提取。</w:t>
            </w:r>
          </w:p>
        </w:tc>
        <w:tc>
          <w:tcPr>
            <w:tcW w:type="dxa" w:w="2846"/>
            <w:tcMar>
              <w:top w:type="dxa" w:w="42"/>
              <w:left w:type="dxa" w:w="100"/>
              <w:bottom w:type="dxa" w:w="42"/>
              <w:right w:type="dxa" w:w="100"/>
            </w:tcMar>
          </w:tcPr>
          <w:p>
            <w:pPr>
              <w:spacing w:after="0" w:line="250"/>
              <w:jc w:val="left"/>
            </w:pPr>
            <w:r>
              <w:rPr>
                <w:b w:val="false"/>
                <w:bCs w:val="false"/>
                <w:sz w:val="19"/>
                <w:szCs w:val="19"/>
              </w:rPr>
              <w:t xml:space="preserve">刷新令牌改用浏览器不可读的安全 Cookie，网关密钥不再作为安全边界，真正的鉴权依赖每个用户各自的登录令牌。</w:t>
            </w:r>
          </w:p>
        </w:tc>
      </w:tr>
    </w:tbl>
    <w:p>
      <w:pPr>
        <w:pBdr>
          <w:left w:val="single" w:color="2E74B5" w:sz="24" w:space="10"/>
        </w:pBdr>
        <w:shd w:fill="E7EFF8" w:color="auto" w:val="clear"/>
        <w:spacing w:after="140" w:before="80" w:line="268"/>
      </w:pPr>
      <w:r>
        <w:rPr>
          <w:b/>
          <w:bCs/>
          <w:color w:val="2E74B5"/>
        </w:rPr>
        <w:t xml:space="preserve">【说明】 </w:t>
      </w:r>
      <w:r>
        <w:rPr>
          <w:b w:val="false"/>
          <w:bCs w:val="false"/>
        </w:rPr>
        <w:t xml:space="preserve">以上仅为本次审计发现的 </w:t>
      </w:r>
      <w:r>
        <w:rPr>
          <w:b/>
          <w:bCs/>
        </w:rPr>
        <w:t xml:space="preserve">部分问题</w:t>
      </w:r>
      <w:r>
        <w:rPr>
          <w:b w:val="false"/>
          <w:bCs w:val="false"/>
        </w:rPr>
        <w:t xml:space="preserve">（服务器与部署方面已尽量列全，代码方面仅列了影响最大的几条）。完整问题清单、技术细节与逐条修复方案，见配套的《CSS 安全与架构审计报告》与《CSS 代码技术债清单》。</w:t>
      </w:r>
    </w:p>
    <w:sectPr>
      <w:footerReference w:type="default" r:id="rId7"/>
      <w:pgSz w:w="11906" w:h="16838" w:orient="portrait"/>
      <w:pgMar w:top="1180" w:right="1080" w:bottom="1180"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Chain Serve 高管审计简报　·　第 </w:t>
    </w:r>
    <w:r>
      <w:rPr>
        <w:color w:val="808080"/>
        <w:sz w:val="16"/>
        <w:szCs w:val="16"/>
      </w:rPr>
      <w:fldChar w:fldCharType="begin"/>
      <w:instrText xml:space="preserve">PAGE</w:instrText>
      <w:fldChar w:fldCharType="separate"/>
      <w:fldChar w:fldCharType="end"/>
    </w:r>
    <w:r>
      <w:rPr>
        <w:color w:val="808080"/>
        <w:sz w:val="16"/>
        <w:szCs w:val="16"/>
      </w:rPr>
      <w:t xml:space="preserve"> 页　·　机密 CONFIDENTIAL　·　2026-07-15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color w:val="222222"/>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eastAsia="Microsoft YaHei" w:hAnsi="Calibri"/>
      <w:b/>
      <w:bCs/>
      <w:color w:val="1F3864"/>
      <w:sz w:val="30"/>
      <w:szCs w:val="30"/>
    </w:rPr>
  </w:style>
  <w:style w:type="paragraph" w:styleId="Heading2">
    <w:name w:val="Heading 2"/>
    <w:basedOn w:val="Normal"/>
    <w:next w:val="Normal"/>
    <w:qFormat/>
    <w:pPr>
      <w:keepNext/>
      <w:spacing w:after="110" w:before="240"/>
      <w:outlineLvl w:val="1"/>
    </w:pPr>
    <w:rPr>
      <w:rFonts w:ascii="Calibri" w:eastAsia="Microsoft YaHei" w:hAnsi="Calibri"/>
      <w:b/>
      <w:bCs/>
      <w:color w:val="1F4E79"/>
      <w:sz w:val="25"/>
      <w:szCs w:val="25"/>
    </w:rPr>
  </w:style>
  <w:style w:type="paragraph" w:styleId="Heading3">
    <w:name w:val="Heading 3"/>
    <w:basedOn w:val="Normal"/>
    <w:next w:val="Normal"/>
    <w:qFormat/>
    <w:pPr>
      <w:keepNext/>
      <w:spacing w:after="90" w:before="180"/>
      <w:outlineLvl w:val="2"/>
    </w:pPr>
    <w:rPr>
      <w:rFonts w:ascii="Calibri" w:eastAsia="Microsoft YaHe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Chain Serve 高管审计简报</dc:title>
  <dc:creator>Executive Audit Brief</dc:creator>
  <cp:lastModifiedBy>Un-named</cp:lastModifiedBy>
  <cp:revision>1</cp:revision>
  <dcterms:created xsi:type="dcterms:W3CDTF">2026-07-20T08:38:26.811Z</dcterms:created>
  <dcterms:modified xsi:type="dcterms:W3CDTF">2026-07-20T08:38:26.811Z</dcterms:modified>
</cp:coreProperties>
</file>

<file path=docProps/custom.xml><?xml version="1.0" encoding="utf-8"?>
<Properties xmlns="http://schemas.openxmlformats.org/officeDocument/2006/custom-properties" xmlns:vt="http://schemas.openxmlformats.org/officeDocument/2006/docPropsVTypes"/>
</file>