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BC5A9">
      <w:pPr>
        <w:pStyle w:val="2"/>
        <w:bidi w:val="0"/>
        <w:rPr>
          <w:rFonts w:hint="eastAsia"/>
        </w:rPr>
      </w:pPr>
      <w:r>
        <w:rPr>
          <w:rFonts w:hint="eastAsia"/>
        </w:rPr>
        <w:t>Create Benchmark Comparison UI - Company</w:t>
      </w:r>
    </w:p>
    <w:p w14:paraId="23020B78">
      <w:pPr>
        <w:rPr>
          <w:rFonts w:hint="eastAsia"/>
        </w:rPr>
      </w:pPr>
      <w:r>
        <w:rPr>
          <w:rFonts w:hint="eastAsia"/>
        </w:rPr>
        <w:t xml:space="preserve">Business Requirements: </w:t>
      </w:r>
    </w:p>
    <w:p w14:paraId="005DEFCB">
      <w:pPr>
        <w:rPr>
          <w:rFonts w:hint="eastAsia"/>
        </w:rPr>
      </w:pPr>
      <w:r>
        <w:rPr>
          <w:rFonts w:hint="eastAsia"/>
        </w:rPr>
        <w:t>The benchmark comparison UI must focus on relative performance, not raw values, so that users can quickly understand how the company stacks up relative to peers and external market data. For each key metric, users should be able to see the company’s value, the benchmark reference point, and the degree of variance between them, along with contextual indicators (percentiles, ranges, or cohort position where applicable). Where multiple benchmark sources exist for the same metric, the UI must support side-by-side comparison so users can understand differences driven by methodology, cohort definition, or data source.</w:t>
      </w:r>
    </w:p>
    <w:p w14:paraId="6D6B8470">
      <w:pPr>
        <w:rPr>
          <w:rFonts w:hint="eastAsia"/>
        </w:rPr>
      </w:pPr>
    </w:p>
    <w:p w14:paraId="1E96DD45">
      <w:pPr>
        <w:rPr>
          <w:rFonts w:hint="eastAsia"/>
        </w:rPr>
      </w:pPr>
      <w:r>
        <w:rPr>
          <w:rFonts w:hint="eastAsia"/>
        </w:rPr>
        <w:t>Benchmark comparisons are automatically contextualized based on the selected company’s attributes.  The UI must distinguish between peer-relative benchmarks derived from normalized LG data and external industry benchmarks sourced from survey distributions. Absolute company values remain visible as baseline context, but the primary focus is on relative positioning rather than raw numbers.  External benchmarks are intended to provide directional context and industry positioning only. They are not expected to match Looking Glass metric formulas exactly and should not be interpreted as apples-to-apples financial comparisons. The UI must visually and textually communicate that external benchmarks represent industry distributions rather than precise metric equivalence.</w:t>
      </w:r>
    </w:p>
    <w:p w14:paraId="7772A476">
      <w:pPr>
        <w:rPr>
          <w:rFonts w:hint="eastAsia"/>
        </w:rPr>
      </w:pPr>
    </w:p>
    <w:p w14:paraId="2F19F39F">
      <w:pPr>
        <w:rPr>
          <w:rFonts w:hint="eastAsia"/>
        </w:rPr>
      </w:pPr>
      <w:r>
        <w:rPr>
          <w:rFonts w:hint="eastAsia"/>
        </w:rPr>
        <w:t>In addition to answering the question of how a company is performing relative to their LG peers and the industry, the benchmark comparison should also show how the company is performing relative to the system generated forecast and the committed forecast.</w:t>
      </w:r>
    </w:p>
    <w:p w14:paraId="21A04517">
      <w:pPr>
        <w:rPr>
          <w:rFonts w:hint="eastAsia"/>
        </w:rPr>
      </w:pPr>
    </w:p>
    <w:p w14:paraId="6DD8ECBF">
      <w:pPr>
        <w:rPr>
          <w:rFonts w:hint="eastAsia"/>
        </w:rPr>
      </w:pPr>
      <w:r>
        <w:rPr>
          <w:rFonts w:hint="eastAsia"/>
        </w:rPr>
        <w:t>This story covers only benchmark comparisons for a single company. Story ✓ Create Benchmark Comparison UI - Portfolio Intelligence covers benchmark comparisons across companies in a portfolio</w:t>
      </w:r>
    </w:p>
    <w:p w14:paraId="06CBBA91">
      <w:pPr>
        <w:rPr>
          <w:rFonts w:hint="eastAsia"/>
        </w:rPr>
      </w:pPr>
    </w:p>
    <w:p w14:paraId="0E6BC366">
      <w:pPr>
        <w:rPr>
          <w:rFonts w:hint="eastAsia"/>
        </w:rPr>
      </w:pPr>
      <w:r>
        <w:rPr>
          <w:rFonts w:hint="eastAsia"/>
        </w:rPr>
        <w:t>Acceptance Criteria</w:t>
      </w:r>
    </w:p>
    <w:p w14:paraId="490D4CF5">
      <w:pPr>
        <w:rPr>
          <w:rFonts w:hint="eastAsia"/>
        </w:rPr>
      </w:pPr>
      <w:r>
        <w:rPr>
          <w:rFonts w:hint="eastAsia"/>
        </w:rPr>
        <w:t>Benchmark Views &amp; Scope</w:t>
      </w:r>
    </w:p>
    <w:p w14:paraId="3B12CEED">
      <w:pPr>
        <w:rPr>
          <w:rFonts w:hint="eastAsia"/>
        </w:rPr>
      </w:pPr>
      <w:r>
        <w:rPr>
          <w:rFonts w:hint="eastAsia"/>
        </w:rPr>
        <w:t>Add a new 'Benchmarking' page as a new tab in the Finance module of a Company</w:t>
      </w:r>
    </w:p>
    <w:p w14:paraId="47599A80">
      <w:pPr>
        <w:rPr>
          <w:rFonts w:hint="eastAsia"/>
        </w:rPr>
      </w:pPr>
      <w:r>
        <w:rPr>
          <w:rFonts w:hint="eastAsia"/>
        </w:rPr>
        <w:t>The UI supports comparison against:</w:t>
      </w:r>
    </w:p>
    <w:p w14:paraId="4A915FC4">
      <w:pPr>
        <w:rPr>
          <w:rFonts w:hint="eastAsia"/>
        </w:rPr>
      </w:pPr>
      <w:r>
        <w:rPr>
          <w:rFonts w:hint="eastAsia"/>
        </w:rPr>
        <w:t>External benchmarks (KeyBanc, High Alpha, Benchmark.it)</w:t>
      </w:r>
    </w:p>
    <w:p w14:paraId="4D5EAE8F">
      <w:pPr>
        <w:rPr>
          <w:rFonts w:hint="eastAsia"/>
        </w:rPr>
      </w:pPr>
      <w:r>
        <w:rPr>
          <w:rFonts w:hint="eastAsia"/>
        </w:rPr>
        <w:t>Peer-relative (derived from LG peer groups) or fall back to Portolio benchmarks. UI indication required.</w:t>
      </w:r>
    </w:p>
    <w:p w14:paraId="2C49BD3C">
      <w:pPr>
        <w:rPr>
          <w:rFonts w:hint="eastAsia"/>
        </w:rPr>
      </w:pPr>
      <w:r>
        <w:rPr>
          <w:rFonts w:hint="eastAsia"/>
        </w:rPr>
        <w:t>System Generated Forecast (if present)</w:t>
      </w:r>
    </w:p>
    <w:p w14:paraId="3718DDC1">
      <w:pPr>
        <w:rPr>
          <w:rFonts w:hint="eastAsia"/>
        </w:rPr>
      </w:pPr>
      <w:r>
        <w:rPr>
          <w:rFonts w:hint="eastAsia"/>
        </w:rPr>
        <w:t>Compare against Actuals of Industry Benchmarks</w:t>
      </w:r>
    </w:p>
    <w:p w14:paraId="31820146">
      <w:pPr>
        <w:rPr>
          <w:rFonts w:hint="eastAsia"/>
        </w:rPr>
      </w:pPr>
      <w:r>
        <w:rPr>
          <w:rFonts w:hint="eastAsia"/>
        </w:rPr>
        <w:t>Compare against System Generated Forecast of Peer-Relative or Portfolio Benchmarks</w:t>
      </w:r>
    </w:p>
    <w:p w14:paraId="4228E300">
      <w:pPr>
        <w:rPr>
          <w:rFonts w:hint="eastAsia"/>
        </w:rPr>
      </w:pPr>
      <w:r>
        <w:rPr>
          <w:rFonts w:hint="eastAsia"/>
        </w:rPr>
        <w:t>Committed Forecast (if present)</w:t>
      </w:r>
    </w:p>
    <w:p w14:paraId="288A1187">
      <w:pPr>
        <w:rPr>
          <w:rFonts w:hint="eastAsia"/>
        </w:rPr>
      </w:pPr>
      <w:r>
        <w:rPr>
          <w:rFonts w:hint="eastAsia"/>
        </w:rPr>
        <w:t>Compare against Actuals of Industry Benchmarks</w:t>
      </w:r>
    </w:p>
    <w:p w14:paraId="7996E589">
      <w:pPr>
        <w:rPr>
          <w:rFonts w:hint="eastAsia"/>
        </w:rPr>
      </w:pPr>
      <w:r>
        <w:rPr>
          <w:rFonts w:hint="eastAsia"/>
        </w:rPr>
        <w:t>Compare against Committed Forecast of Peer-Relative or Portfolio Benchmarks</w:t>
      </w:r>
    </w:p>
    <w:p w14:paraId="55F1085D">
      <w:pPr>
        <w:rPr>
          <w:rFonts w:hint="eastAsia"/>
        </w:rPr>
      </w:pPr>
      <w:r>
        <w:rPr>
          <w:rFonts w:hint="eastAsia"/>
        </w:rPr>
        <w:t>Absolute company values are always visible as context but are not treated as a standalone “benchmark view.”</w:t>
      </w:r>
    </w:p>
    <w:p w14:paraId="11666698">
      <w:pPr>
        <w:rPr>
          <w:rFonts w:hint="eastAsia"/>
        </w:rPr>
      </w:pPr>
      <w:r>
        <w:rPr>
          <w:rFonts w:hint="eastAsia"/>
        </w:rPr>
        <w:t>Informational disclaimer displays a note about benchmarking utilizing a company's financials and normalizing them to make them comparable</w:t>
      </w:r>
    </w:p>
    <w:p w14:paraId="1CBB1FEF">
      <w:pPr>
        <w:rPr>
          <w:rFonts w:hint="eastAsia"/>
        </w:rPr>
      </w:pPr>
      <w:r>
        <w:rPr>
          <w:rFonts w:hint="eastAsia"/>
        </w:rPr>
        <w:t>Company User</w:t>
      </w:r>
    </w:p>
    <w:p w14:paraId="78BFBC6E">
      <w:pPr>
        <w:rPr>
          <w:rFonts w:hint="eastAsia"/>
        </w:rPr>
      </w:pPr>
      <w:r>
        <w:rPr>
          <w:rFonts w:hint="eastAsia"/>
        </w:rPr>
        <w:t>Benchmarks displayed for that company only</w:t>
      </w:r>
    </w:p>
    <w:p w14:paraId="4064038A">
      <w:pPr>
        <w:rPr>
          <w:rFonts w:hint="eastAsia"/>
        </w:rPr>
      </w:pPr>
      <w:r>
        <w:rPr>
          <w:rFonts w:hint="eastAsia"/>
        </w:rPr>
        <w:t>Benchmark Presentation</w:t>
      </w:r>
    </w:p>
    <w:p w14:paraId="7E81DB0F">
      <w:pPr>
        <w:rPr>
          <w:rFonts w:hint="eastAsia"/>
        </w:rPr>
      </w:pPr>
      <w:r>
        <w:rPr>
          <w:rFonts w:hint="eastAsia"/>
        </w:rPr>
        <w:t>For each metric displayed, the UI shows:</w:t>
      </w:r>
    </w:p>
    <w:p w14:paraId="26EBA579">
      <w:pPr>
        <w:rPr>
          <w:rFonts w:hint="eastAsia"/>
        </w:rPr>
      </w:pPr>
      <w:r>
        <w:rPr>
          <w:rFonts w:hint="eastAsia"/>
        </w:rPr>
        <w:t>Company value</w:t>
      </w:r>
    </w:p>
    <w:p w14:paraId="7E276441">
      <w:pPr>
        <w:rPr>
          <w:rFonts w:hint="eastAsia"/>
        </w:rPr>
      </w:pPr>
      <w:r>
        <w:rPr>
          <w:rFonts w:hint="eastAsia"/>
        </w:rPr>
        <w:t>Benchmark value or reference range</w:t>
      </w:r>
    </w:p>
    <w:p w14:paraId="63C8F051">
      <w:pPr>
        <w:rPr>
          <w:rFonts w:hint="eastAsia"/>
        </w:rPr>
      </w:pPr>
      <w:r>
        <w:rPr>
          <w:rFonts w:hint="eastAsia"/>
        </w:rPr>
        <w:t>Percentile or relative positioning where available</w:t>
      </w:r>
    </w:p>
    <w:p w14:paraId="759CA8A2">
      <w:pPr>
        <w:rPr>
          <w:rFonts w:hint="eastAsia"/>
        </w:rPr>
      </w:pPr>
      <w:r>
        <w:rPr>
          <w:rFonts w:hint="eastAsia"/>
        </w:rPr>
        <w:t>Benchmarks are clearly labeled with:</w:t>
      </w:r>
    </w:p>
    <w:p w14:paraId="5EA68D18">
      <w:pPr>
        <w:rPr>
          <w:rFonts w:hint="eastAsia"/>
        </w:rPr>
      </w:pPr>
      <w:r>
        <w:rPr>
          <w:rFonts w:hint="eastAsia"/>
        </w:rPr>
        <w:t>Survey Source name</w:t>
      </w:r>
    </w:p>
    <w:p w14:paraId="584B8F88">
      <w:pPr>
        <w:rPr>
          <w:rFonts w:hint="eastAsia"/>
        </w:rPr>
      </w:pPr>
      <w:r>
        <w:rPr>
          <w:rFonts w:hint="eastAsia"/>
        </w:rPr>
        <w:t>Year or version</w:t>
      </w:r>
    </w:p>
    <w:p w14:paraId="689CCB5E">
      <w:pPr>
        <w:rPr>
          <w:rFonts w:hint="eastAsia"/>
        </w:rPr>
      </w:pPr>
      <w:r>
        <w:rPr>
          <w:rFonts w:hint="eastAsia"/>
        </w:rPr>
        <w:t>Example label:</w:t>
      </w:r>
    </w:p>
    <w:p w14:paraId="5C34BDC6">
      <w:pPr>
        <w:rPr>
          <w:rFonts w:hint="eastAsia"/>
        </w:rPr>
      </w:pPr>
      <w:r>
        <w:rPr>
          <w:rFonts w:hint="eastAsia"/>
        </w:rPr>
        <w:t>“Source: KeyBanc SaaS Survey — 2024”</w:t>
      </w:r>
    </w:p>
    <w:p w14:paraId="7AF9F508">
      <w:pPr>
        <w:rPr>
          <w:rFonts w:hint="eastAsia"/>
        </w:rPr>
      </w:pPr>
      <w:r>
        <w:rPr>
          <w:rFonts w:hint="eastAsia"/>
        </w:rPr>
        <w:t>Specific benchmark definition or formula, coupled with flag of "Exact/Best Guess/inferred".</w:t>
      </w:r>
    </w:p>
    <w:p w14:paraId="2903DA07">
      <w:pPr>
        <w:rPr>
          <w:rFonts w:hint="eastAsia"/>
        </w:rPr>
      </w:pPr>
      <w:r>
        <w:rPr>
          <w:rFonts w:hint="eastAsia"/>
        </w:rPr>
        <w:t>Benchmark cohort</w:t>
      </w:r>
    </w:p>
    <w:p w14:paraId="6A9ECCDD">
      <w:pPr>
        <w:rPr>
          <w:rFonts w:hint="eastAsia"/>
        </w:rPr>
      </w:pPr>
      <w:r>
        <w:rPr>
          <w:rFonts w:hint="eastAsia"/>
        </w:rPr>
        <w:t>User should be able to see trends of specific benchmarks, ie where was it 6 months ago, today, and where is it forecasted to be 6 months from now</w:t>
      </w:r>
    </w:p>
    <w:p w14:paraId="4DD7E51F">
      <w:pPr>
        <w:rPr>
          <w:rFonts w:hint="eastAsia"/>
        </w:rPr>
      </w:pPr>
      <w:r>
        <w:rPr>
          <w:rFonts w:hint="eastAsia"/>
        </w:rPr>
        <w:t>Multi-Source Comparison</w:t>
      </w:r>
    </w:p>
    <w:p w14:paraId="454188E2">
      <w:pPr>
        <w:rPr>
          <w:rFonts w:hint="eastAsia"/>
        </w:rPr>
      </w:pPr>
      <w:r>
        <w:rPr>
          <w:rFonts w:hint="eastAsia"/>
        </w:rPr>
        <w:t>When multiple benchmarks exist for the same metric:</w:t>
      </w:r>
    </w:p>
    <w:p w14:paraId="55560F88">
      <w:pPr>
        <w:rPr>
          <w:rFonts w:hint="eastAsia"/>
        </w:rPr>
      </w:pPr>
      <w:r>
        <w:rPr>
          <w:rFonts w:hint="eastAsia"/>
        </w:rPr>
        <w:t>Users can view them side-by-side in a comparable layout</w:t>
      </w:r>
    </w:p>
    <w:p w14:paraId="123F09FF">
      <w:pPr>
        <w:rPr>
          <w:rFonts w:hint="eastAsia"/>
        </w:rPr>
      </w:pPr>
      <w:r>
        <w:rPr>
          <w:rFonts w:hint="eastAsia"/>
        </w:rPr>
        <w:t>Differences in benchmark results are visually apparent</w:t>
      </w:r>
    </w:p>
    <w:p w14:paraId="3CC62E3E">
      <w:pPr>
        <w:rPr>
          <w:rFonts w:hint="eastAsia"/>
        </w:rPr>
      </w:pPr>
      <w:r>
        <w:rPr>
          <w:rFonts w:hint="eastAsia"/>
        </w:rPr>
        <w:t>The system does not aggregate or average benchmarks unless explicitly defined in a separate rule set.</w:t>
      </w:r>
    </w:p>
    <w:p w14:paraId="55A73990">
      <w:pPr>
        <w:rPr>
          <w:rFonts w:hint="eastAsia"/>
        </w:rPr>
      </w:pPr>
      <w:r>
        <w:rPr>
          <w:rFonts w:hint="eastAsia"/>
        </w:rPr>
        <w:t>Visual Indicators</w:t>
      </w:r>
    </w:p>
    <w:p w14:paraId="29105039">
      <w:pPr>
        <w:rPr>
          <w:rFonts w:hint="eastAsia"/>
        </w:rPr>
      </w:pPr>
      <w:r>
        <w:rPr>
          <w:rFonts w:hint="eastAsia"/>
        </w:rPr>
        <w:t>Clear visual cues indicate relative performance:</w:t>
      </w:r>
    </w:p>
    <w:p w14:paraId="403F04F8">
      <w:pPr>
        <w:rPr>
          <w:rFonts w:hint="eastAsia"/>
        </w:rPr>
      </w:pPr>
      <w:r>
        <w:rPr>
          <w:rFonts w:hint="eastAsia"/>
        </w:rPr>
        <w:t>Above benchmark</w:t>
      </w:r>
    </w:p>
    <w:p w14:paraId="2C6FC3F0">
      <w:pPr>
        <w:rPr>
          <w:rFonts w:hint="eastAsia"/>
        </w:rPr>
      </w:pPr>
      <w:r>
        <w:rPr>
          <w:rFonts w:hint="eastAsia"/>
        </w:rPr>
        <w:t>Near benchmark</w:t>
      </w:r>
    </w:p>
    <w:p w14:paraId="1E727C3E">
      <w:pPr>
        <w:rPr>
          <w:rFonts w:hint="eastAsia"/>
        </w:rPr>
      </w:pPr>
      <w:r>
        <w:rPr>
          <w:rFonts w:hint="eastAsia"/>
        </w:rPr>
        <w:t>Below benchmark</w:t>
      </w:r>
    </w:p>
    <w:p w14:paraId="35FD9798">
      <w:pPr>
        <w:rPr>
          <w:rFonts w:hint="eastAsia"/>
        </w:rPr>
      </w:pPr>
      <w:r>
        <w:rPr>
          <w:rFonts w:hint="eastAsia"/>
        </w:rPr>
        <w:t>Color indicators must include textual or icon-based support for accessibility.</w:t>
      </w:r>
    </w:p>
    <w:p w14:paraId="2C028214">
      <w:pPr>
        <w:rPr>
          <w:rFonts w:hint="eastAsia"/>
        </w:rPr>
      </w:pPr>
      <w:r>
        <w:rPr>
          <w:rFonts w:hint="eastAsia"/>
        </w:rPr>
        <w:t>Graphical presentations such as radar and distribution maps that are interactive</w:t>
      </w:r>
    </w:p>
    <w:p w14:paraId="152A2321">
      <w:pPr>
        <w:rPr>
          <w:rFonts w:hint="eastAsia"/>
        </w:rPr>
      </w:pPr>
      <w:r>
        <w:rPr>
          <w:rFonts w:hint="eastAsia"/>
        </w:rPr>
        <w:t>Disclaimer to the user that industry metric calculations may differ from LG metric calculations and that the intention is not to compare exact metric values against each other but to show how companies are performing relative to others</w:t>
      </w:r>
    </w:p>
    <w:p w14:paraId="1ECE956E">
      <w:pPr>
        <w:rPr>
          <w:rFonts w:hint="eastAsia"/>
        </w:rPr>
      </w:pPr>
      <w:r>
        <w:rPr>
          <w:rFonts w:hint="eastAsia"/>
        </w:rPr>
        <w:t>Metric Category Filter: Allows filtering by modules: "All", "Growth", "Efficiency", "Margins", and "Capital".</w:t>
      </w:r>
    </w:p>
    <w:p w14:paraId="3620ACEC">
      <w:pPr>
        <w:rPr>
          <w:rFonts w:hint="eastAsia"/>
        </w:rPr>
      </w:pPr>
      <w:r>
        <w:rPr>
          <w:rFonts w:hint="eastAsia"/>
        </w:rPr>
        <w:t>Hero Dashboard: Displays the Overall Benchmark Score in percentile, and four summary tiles for each category in percentile. Indication in case of estimation is used for benchmark score.</w:t>
      </w:r>
    </w:p>
    <w:p w14:paraId="63F89BFF">
      <w:pPr>
        <w:rPr>
          <w:rFonts w:hint="eastAsia"/>
        </w:rPr>
      </w:pPr>
      <w:r>
        <w:rPr>
          <w:rFonts w:hint="eastAsia"/>
        </w:rPr>
        <w:t xml:space="preserve">Metric Cards: Displays summary of module benchmark score and indication in case of estimation is used for scoring, individual metric names, actual values, and percentile rankings </w:t>
      </w:r>
    </w:p>
    <w:p w14:paraId="288E087D">
      <w:pPr>
        <w:rPr>
          <w:rFonts w:hint="eastAsia"/>
        </w:rPr>
      </w:pPr>
      <w:r>
        <w:rPr>
          <w:rFonts w:hint="eastAsia"/>
        </w:rPr>
        <w:t>Exact Percentile: If possible, calculate the exact percentile and display, like P45.</w:t>
      </w:r>
    </w:p>
    <w:p w14:paraId="581B75DE">
      <w:pPr>
        <w:rPr>
          <w:rFonts w:hint="eastAsia"/>
        </w:rPr>
      </w:pPr>
      <w:r>
        <w:rPr>
          <w:rFonts w:hint="eastAsia"/>
        </w:rPr>
        <w:t>Otherwise linearly interpolate the percentile and display if the metric value falls between the benchmark range, like ~P64. Copy indication of "Includes estimated percentiles (interpolated values usedboundary values used)" in the overall summary.</w:t>
      </w:r>
    </w:p>
    <w:p w14:paraId="063555FF">
      <w:pPr>
        <w:rPr>
          <w:rFonts w:hint="eastAsia"/>
        </w:rPr>
      </w:pPr>
      <w:r>
        <w:rPr>
          <w:rFonts w:hint="eastAsia"/>
        </w:rPr>
        <w:t>Out-of-Range Handling: if metric value falls out of the benchmark range, then use "＞" or "＜". Like ＞P75 or＜P25.  Take the boundary value for any summary calculation and show copy indication of "Includes estimated percentiles (boundary values used)" in the overall summary. If a report only provides a Median (P50), then take the following percentiles for summary:</w:t>
      </w:r>
    </w:p>
    <w:p w14:paraId="44C2250F">
      <w:pPr>
        <w:rPr>
          <w:rFonts w:hint="eastAsia"/>
        </w:rPr>
      </w:pPr>
      <w:r>
        <w:rPr>
          <w:rFonts w:hint="eastAsia"/>
        </w:rPr>
        <w:t>Above Median = 75.</w:t>
      </w:r>
    </w:p>
    <w:p w14:paraId="14A3F3E6">
      <w:pPr>
        <w:rPr>
          <w:rFonts w:hint="eastAsia"/>
        </w:rPr>
      </w:pPr>
      <w:r>
        <w:rPr>
          <w:rFonts w:hint="eastAsia"/>
        </w:rPr>
        <w:t>Below Median = 25.</w:t>
      </w:r>
    </w:p>
    <w:p w14:paraId="4972146A">
      <w:pPr>
        <w:rPr>
          <w:rFonts w:hint="eastAsia"/>
        </w:rPr>
      </w:pPr>
      <w:r>
        <w:rPr>
          <w:rFonts w:hint="eastAsia"/>
        </w:rPr>
        <w:t>Equal to Median = 50.</w:t>
      </w:r>
    </w:p>
    <w:p w14:paraId="7E728956">
      <w:pPr>
        <w:rPr>
          <w:rFonts w:hint="eastAsia"/>
        </w:rPr>
      </w:pPr>
      <w:r>
        <w:rPr>
          <w:rFonts w:hint="eastAsia"/>
        </w:rPr>
        <w:t>Distribution Bars: Horizontal color-coded bars.</w:t>
      </w:r>
    </w:p>
    <w:p w14:paraId="2B58E35B">
      <w:pPr>
        <w:rPr>
          <w:rFonts w:hint="eastAsia"/>
        </w:rPr>
      </w:pPr>
      <w:r>
        <w:rPr>
          <w:rFonts w:hint="eastAsia"/>
        </w:rPr>
        <w:t>Standard Metrics: Higher values = Higher percentile.</w:t>
      </w:r>
    </w:p>
    <w:p w14:paraId="1271351C">
      <w:pPr>
        <w:rPr>
          <w:rFonts w:hint="eastAsia"/>
        </w:rPr>
      </w:pPr>
      <w:r>
        <w:rPr>
          <w:rFonts w:hint="eastAsia"/>
        </w:rPr>
        <w:t>Inverse Metrics: Specifically Monthly Net Burn Rate, where lower values = Higher percentile.</w:t>
      </w:r>
    </w:p>
    <w:p w14:paraId="0CE5F487">
      <w:pPr>
        <w:rPr>
          <w:rFonts w:hint="eastAsia"/>
        </w:rPr>
      </w:pPr>
      <w:r>
        <w:rPr>
          <w:rFonts w:hint="eastAsia"/>
        </w:rPr>
        <w:t>Interaction &amp; Navigation</w:t>
      </w:r>
    </w:p>
    <w:p w14:paraId="64802E45">
      <w:pPr>
        <w:rPr>
          <w:rFonts w:hint="eastAsia"/>
        </w:rPr>
      </w:pPr>
      <w:r>
        <w:rPr>
          <w:rFonts w:hint="eastAsia"/>
        </w:rPr>
        <w:t>Users can switch between benchmark sources using Pill component:</w:t>
      </w:r>
    </w:p>
    <w:p w14:paraId="378C27BC">
      <w:pPr>
        <w:rPr>
          <w:rFonts w:hint="eastAsia"/>
        </w:rPr>
      </w:pPr>
      <w:r>
        <w:rPr>
          <w:rFonts w:hint="eastAsia"/>
        </w:rPr>
        <w:t>Switching benchmark sources does not change metric ordering or layout.</w:t>
      </w:r>
    </w:p>
    <w:p w14:paraId="6A7A0A00">
      <w:pPr>
        <w:rPr>
          <w:rFonts w:hint="eastAsia"/>
        </w:rPr>
      </w:pPr>
      <w:r>
        <w:rPr>
          <w:rFonts w:hint="eastAsia"/>
        </w:rPr>
        <w:t>Responsiveness</w:t>
      </w:r>
    </w:p>
    <w:p w14:paraId="5E480FAA">
      <w:pPr>
        <w:rPr>
          <w:rFonts w:hint="eastAsia"/>
        </w:rPr>
      </w:pPr>
      <w:r>
        <w:rPr>
          <w:rFonts w:hint="eastAsia"/>
        </w:rPr>
        <w:t>The benchmark comparison UI functions on desktop and tablet.</w:t>
      </w:r>
    </w:p>
    <w:p w14:paraId="237F1CF6">
      <w:pPr>
        <w:rPr>
          <w:rFonts w:hint="eastAsia"/>
        </w:rPr>
      </w:pPr>
      <w:r>
        <w:rPr>
          <w:rFonts w:hint="eastAsia"/>
        </w:rPr>
        <w:t>Mobile views prioritize readability over density.</w:t>
      </w:r>
    </w:p>
    <w:p w14:paraId="793FDE3E">
      <w:pPr>
        <w:rPr>
          <w:rFonts w:hint="eastAsia"/>
        </w:rPr>
      </w:pPr>
    </w:p>
    <w:p w14:paraId="04A8AEB3">
      <w:pPr>
        <w:rPr>
          <w:rFonts w:hint="eastAsia"/>
        </w:rPr>
      </w:pPr>
      <w:r>
        <w:rPr>
          <w:rFonts w:hint="eastAsia"/>
        </w:rPr>
        <w:t>UX Design Considerations</w:t>
      </w:r>
    </w:p>
    <w:p w14:paraId="1BC55C49">
      <w:pPr>
        <w:rPr>
          <w:rFonts w:hint="eastAsia"/>
        </w:rPr>
      </w:pPr>
      <w:r>
        <w:rPr>
          <w:rFonts w:hint="eastAsia"/>
        </w:rPr>
        <w:t>Page needs to be interactive infographic style</w:t>
      </w:r>
    </w:p>
    <w:p w14:paraId="11612482">
      <w:pPr>
        <w:rPr>
          <w:rFonts w:hint="eastAsia"/>
        </w:rPr>
      </w:pPr>
      <w:r>
        <w:rPr>
          <w:rFonts w:hint="eastAsia"/>
        </w:rPr>
        <w:t>Tab-based or dropdown navigation for benchmark types.  UI should clearly distinguish them</w:t>
      </w:r>
    </w:p>
    <w:p w14:paraId="2086632F">
      <w:pPr>
        <w:rPr>
          <w:rFonts w:hint="eastAsia"/>
        </w:rPr>
      </w:pPr>
      <w:r>
        <w:rPr>
          <w:rFonts w:hint="eastAsia"/>
        </w:rPr>
        <w:t>Consistent metric layout across different benchmark views</w:t>
      </w:r>
    </w:p>
    <w:p w14:paraId="3C1F7A3D">
      <w:pPr>
        <w:rPr>
          <w:rFonts w:hint="eastAsia"/>
        </w:rPr>
      </w:pPr>
      <w:r>
        <w:rPr>
          <w:rFonts w:hint="eastAsia"/>
        </w:rPr>
        <w:t>Visual indicators (arrows, bars) showing position relative to benchmark</w:t>
      </w:r>
    </w:p>
    <w:p w14:paraId="574B6B43">
      <w:pPr>
        <w:rPr>
          <w:rFonts w:hint="eastAsia"/>
        </w:rPr>
      </w:pPr>
      <w:r>
        <w:rPr>
          <w:rFonts w:hint="eastAsia"/>
        </w:rPr>
        <w:t>Tooltips or info icons state revealing additional context and methodology</w:t>
      </w:r>
    </w:p>
    <w:p w14:paraId="7C7E3C70">
      <w:pPr>
        <w:rPr>
          <w:rFonts w:hint="eastAsia"/>
        </w:rPr>
      </w:pPr>
      <w:r>
        <w:rPr>
          <w:rFonts w:hint="eastAsia"/>
        </w:rPr>
        <w:t xml:space="preserve">Examples: </w:t>
      </w:r>
    </w:p>
    <w:p w14:paraId="742DA795">
      <w:pPr>
        <w:rPr>
          <w:rFonts w:hint="eastAsia"/>
        </w:rPr>
      </w:pPr>
      <w:r>
        <w:rPr>
          <w:rFonts w:hint="eastAsia"/>
        </w:rPr>
        <w:t>“What does this benchmark represent?”</w:t>
      </w:r>
    </w:p>
    <w:p w14:paraId="671486CF">
      <w:pPr>
        <w:rPr>
          <w:rFonts w:hint="eastAsia"/>
        </w:rPr>
      </w:pPr>
      <w:r>
        <w:rPr>
          <w:rFonts w:hint="eastAsia"/>
        </w:rPr>
        <w:t>“Why might this differ from another benchmark?”</w:t>
      </w:r>
    </w:p>
    <w:p w14:paraId="09CE0DDA">
      <w:pPr>
        <w:rPr>
          <w:rFonts w:hint="eastAsia"/>
        </w:rPr>
      </w:pPr>
      <w:r>
        <w:rPr>
          <w:rFonts w:hint="eastAsia"/>
        </w:rPr>
        <w:t>“External benchmarks reflect industry survey distributions and may use different definitions than Looking Glass metrics. Use for directional context only.”</w:t>
      </w:r>
    </w:p>
    <w:p w14:paraId="07FFE04F">
      <w:pPr>
        <w:rPr>
          <w:rFonts w:hint="eastAsia"/>
        </w:rPr>
      </w:pPr>
      <w:r>
        <w:rPr>
          <w:rFonts w:hint="eastAsia"/>
        </w:rPr>
        <w:t>Need to consider edge case when no benchmark for a metric(s) available, or metric data missing from the targeted company.</w:t>
      </w:r>
    </w:p>
    <w:p w14:paraId="787434C2"/>
    <w:p w14:paraId="44CE463A">
      <w:pPr>
        <w:pStyle w:val="2"/>
        <w:bidi w:val="0"/>
      </w:pPr>
      <w:r>
        <w:rPr>
          <w:rFonts w:hint="eastAsia"/>
        </w:rPr>
        <w:t>Implement External Industry Percentile Ranking Engine</w:t>
      </w:r>
    </w:p>
    <w:p w14:paraId="42FC8932">
      <w:pPr>
        <w:rPr>
          <w:rFonts w:hint="eastAsia"/>
        </w:rPr>
      </w:pPr>
      <w:r>
        <w:rPr>
          <w:rFonts w:hint="eastAsia"/>
        </w:rPr>
        <w:t>Business Requirements</w:t>
      </w:r>
    </w:p>
    <w:p w14:paraId="47F61ECC">
      <w:pPr>
        <w:rPr>
          <w:rFonts w:hint="eastAsia"/>
        </w:rPr>
      </w:pPr>
      <w:r>
        <w:rPr>
          <w:rFonts w:hint="eastAsia"/>
        </w:rPr>
        <w:t>The system must support industry-based percentile benchmarking using external benchmark distributions sourced from industry surveys. Industry benchmarks are intended to answer the question: “How does this company compare to the broader market?”</w:t>
      </w:r>
    </w:p>
    <w:p w14:paraId="3743A185">
      <w:pPr>
        <w:rPr>
          <w:rFonts w:hint="eastAsia"/>
        </w:rPr>
      </w:pPr>
    </w:p>
    <w:p w14:paraId="08D37481">
      <w:pPr>
        <w:rPr>
          <w:rFonts w:hint="eastAsia"/>
        </w:rPr>
      </w:pPr>
      <w:r>
        <w:rPr>
          <w:rFonts w:hint="eastAsia"/>
        </w:rPr>
        <w:t>Industry percentile rankings must be calculated by positioning a company’s normalized metric values against externally provided benchmark distributions (e.g., median, quartiles, top/bottom ranges). Because external benchmark sources typically provide summary statistics rather than raw company-level data, the system must interpolate percentile positioning rather than computing true distribution-based percentiles.</w:t>
      </w:r>
    </w:p>
    <w:p w14:paraId="0BE6D166">
      <w:pPr>
        <w:rPr>
          <w:rFonts w:hint="eastAsia"/>
        </w:rPr>
      </w:pPr>
    </w:p>
    <w:p w14:paraId="0931C718">
      <w:pPr>
        <w:rPr>
          <w:rFonts w:hint="eastAsia"/>
        </w:rPr>
      </w:pPr>
      <w:r>
        <w:rPr>
          <w:rFonts w:hint="eastAsia"/>
        </w:rPr>
        <w:t>Industry benchmarking cohort definitions are governed by the benchmark survey metadata (e.g., “B2B SaaS, $5–20M ARR”), and those definitions must be preserved and displayed for transparency. If a survey provides segmentation (e.g., ARR bands), the closest matching survey segment can be used in defining the cohort.</w:t>
      </w:r>
    </w:p>
    <w:p w14:paraId="71B0B910">
      <w:pPr>
        <w:rPr>
          <w:rFonts w:hint="eastAsia"/>
        </w:rPr>
      </w:pPr>
    </w:p>
    <w:p w14:paraId="4E340EE8">
      <w:pPr>
        <w:rPr>
          <w:rFonts w:hint="eastAsia"/>
        </w:rPr>
      </w:pPr>
      <w:r>
        <w:rPr>
          <w:rFonts w:hint="eastAsia"/>
        </w:rPr>
        <w:t>Industry benchmarks provide directional context only and are not expected to match Looking Glass metric formulas exactly. Differences in definitions, calculation methods, and accounting assumptions must be explicitly acknowledged and carried through the ranking engine as metadata.</w:t>
      </w:r>
    </w:p>
    <w:p w14:paraId="2FAC511F">
      <w:pPr>
        <w:rPr>
          <w:rFonts w:hint="eastAsia"/>
        </w:rPr>
      </w:pPr>
      <w:r>
        <w:rPr>
          <w:rFonts w:hint="eastAsia"/>
        </w:rPr>
        <w:t>Acceptance Criteria</w:t>
      </w:r>
    </w:p>
    <w:p w14:paraId="1EC30881">
      <w:pPr>
        <w:rPr>
          <w:rFonts w:hint="eastAsia"/>
        </w:rPr>
      </w:pPr>
      <w:r>
        <w:rPr>
          <w:rFonts w:hint="eastAsia"/>
        </w:rPr>
        <w:t>Industry Benchmark Inputs</w:t>
      </w:r>
    </w:p>
    <w:p w14:paraId="5F6879B2">
      <w:pPr>
        <w:rPr>
          <w:rFonts w:hint="eastAsia"/>
        </w:rPr>
      </w:pPr>
      <w:r>
        <w:rPr>
          <w:rFonts w:hint="eastAsia"/>
        </w:rPr>
        <w:t>The system ingests external benchmark data containing summary statistics such as:</w:t>
      </w:r>
    </w:p>
    <w:p w14:paraId="3959DE91">
      <w:pPr>
        <w:rPr>
          <w:rFonts w:hint="eastAsia"/>
        </w:rPr>
      </w:pPr>
      <w:r>
        <w:rPr>
          <w:rFonts w:hint="eastAsia"/>
        </w:rPr>
        <w:t>Median</w:t>
      </w:r>
    </w:p>
    <w:p w14:paraId="556FC184">
      <w:pPr>
        <w:rPr>
          <w:rFonts w:hint="eastAsia"/>
        </w:rPr>
      </w:pPr>
      <w:r>
        <w:rPr>
          <w:rFonts w:hint="eastAsia"/>
        </w:rPr>
        <w:t>Quartiles</w:t>
      </w:r>
    </w:p>
    <w:p w14:paraId="0E4CDA5B">
      <w:pPr>
        <w:rPr>
          <w:rFonts w:hint="eastAsia"/>
        </w:rPr>
      </w:pPr>
      <w:r>
        <w:rPr>
          <w:rFonts w:hint="eastAsia"/>
        </w:rPr>
        <w:t>Top / bottom performance bands (when available)</w:t>
      </w:r>
    </w:p>
    <w:p w14:paraId="66913088">
      <w:pPr>
        <w:rPr>
          <w:rFonts w:hint="eastAsia"/>
        </w:rPr>
      </w:pPr>
      <w:r>
        <w:rPr>
          <w:rFonts w:hint="eastAsia"/>
        </w:rPr>
        <w:t>Each benchmark dataset includes:</w:t>
      </w:r>
    </w:p>
    <w:p w14:paraId="042042CD">
      <w:pPr>
        <w:rPr>
          <w:rFonts w:hint="eastAsia"/>
        </w:rPr>
      </w:pPr>
      <w:r>
        <w:rPr>
          <w:rFonts w:hint="eastAsia"/>
        </w:rPr>
        <w:t>Source name (KeyBanc, High Alpha, Benchmark.it)</w:t>
      </w:r>
    </w:p>
    <w:p w14:paraId="22690BAC">
      <w:pPr>
        <w:rPr>
          <w:rFonts w:hint="eastAsia"/>
        </w:rPr>
      </w:pPr>
      <w:r>
        <w:rPr>
          <w:rFonts w:hint="eastAsia"/>
        </w:rPr>
        <w:t>Publication year  (2024, 2025 etc.)</w:t>
      </w:r>
    </w:p>
    <w:p w14:paraId="60205CB7">
      <w:pPr>
        <w:rPr>
          <w:rFonts w:hint="eastAsia"/>
        </w:rPr>
      </w:pPr>
      <w:r>
        <w:rPr>
          <w:rFonts w:hint="eastAsia"/>
        </w:rPr>
        <w:t>Industry and cohort definition as provided by the source</w:t>
      </w:r>
    </w:p>
    <w:p w14:paraId="5EA81B7A">
      <w:pPr>
        <w:rPr>
          <w:rFonts w:hint="eastAsia"/>
        </w:rPr>
      </w:pPr>
      <w:r>
        <w:rPr>
          <w:rFonts w:hint="eastAsia"/>
        </w:rPr>
        <w:t>Metric definition or forluma</w:t>
      </w:r>
    </w:p>
    <w:p w14:paraId="6F2BB7D5">
      <w:pPr>
        <w:rPr>
          <w:rFonts w:hint="eastAsia"/>
        </w:rPr>
      </w:pPr>
      <w:r>
        <w:rPr>
          <w:rFonts w:hint="eastAsia"/>
        </w:rPr>
        <w:t>Metric Alignment</w:t>
      </w:r>
    </w:p>
    <w:p w14:paraId="4AC8B3B1">
      <w:pPr>
        <w:rPr>
          <w:rFonts w:hint="eastAsia"/>
        </w:rPr>
      </w:pPr>
      <w:r>
        <w:rPr>
          <w:rFonts w:hint="eastAsia"/>
        </w:rPr>
        <w:t>Industry percentile rankings use normalized LG metric values as inputs.</w:t>
      </w:r>
    </w:p>
    <w:p w14:paraId="6477E603">
      <w:pPr>
        <w:rPr>
          <w:rFonts w:hint="eastAsia"/>
        </w:rPr>
      </w:pPr>
      <w:r>
        <w:rPr>
          <w:rFonts w:hint="eastAsia"/>
        </w:rPr>
        <w:t>The system does not attempt to restate or force alignment with external metric formulas.</w:t>
      </w:r>
    </w:p>
    <w:p w14:paraId="707C6C8A">
      <w:pPr>
        <w:rPr>
          <w:rFonts w:hint="eastAsia"/>
        </w:rPr>
      </w:pPr>
      <w:r>
        <w:rPr>
          <w:rFonts w:hint="eastAsia"/>
        </w:rPr>
        <w:t>Percentile Positioning Logic</w:t>
      </w:r>
    </w:p>
    <w:p w14:paraId="424F6365">
      <w:pPr>
        <w:rPr>
          <w:rFonts w:hint="eastAsia"/>
        </w:rPr>
      </w:pPr>
      <w:r>
        <w:rPr>
          <w:rFonts w:hint="eastAsia"/>
        </w:rPr>
        <w:t>The system determines a company’s percentile position by interpolating its normalized value within the external benchmark distribution.</w:t>
      </w:r>
    </w:p>
    <w:p w14:paraId="76395BAF">
      <w:pPr>
        <w:rPr>
          <w:rFonts w:hint="eastAsia"/>
        </w:rPr>
      </w:pPr>
      <w:r>
        <w:rPr>
          <w:rFonts w:hint="eastAsia"/>
        </w:rPr>
        <w:t>Place the company’s normalized metric value into that distribution</w:t>
      </w:r>
    </w:p>
    <w:p w14:paraId="479BDA1F">
      <w:pPr>
        <w:rPr>
          <w:rFonts w:hint="eastAsia"/>
        </w:rPr>
      </w:pPr>
      <w:r>
        <w:rPr>
          <w:rFonts w:hint="eastAsia"/>
        </w:rPr>
        <w:t>Return:</w:t>
      </w:r>
    </w:p>
    <w:p w14:paraId="07C89EC1">
      <w:pPr>
        <w:rPr>
          <w:rFonts w:hint="eastAsia"/>
        </w:rPr>
      </w:pPr>
      <w:r>
        <w:rPr>
          <w:rFonts w:hint="eastAsia"/>
        </w:rPr>
        <w:t>Percentile</w:t>
      </w:r>
    </w:p>
    <w:p w14:paraId="3338D578">
      <w:pPr>
        <w:rPr>
          <w:rFonts w:hint="eastAsia"/>
        </w:rPr>
      </w:pPr>
      <w:r>
        <w:rPr>
          <w:rFonts w:hint="eastAsia"/>
        </w:rPr>
        <w:t>Relative position (e.g., below median, top quartile)</w:t>
      </w:r>
    </w:p>
    <w:p w14:paraId="1953E175">
      <w:pPr>
        <w:rPr>
          <w:rFonts w:hint="eastAsia"/>
        </w:rPr>
      </w:pPr>
      <w:r>
        <w:rPr>
          <w:rFonts w:hint="eastAsia"/>
        </w:rPr>
        <w:t>If exact percentile mapping is not possible, the system assigns:</w:t>
      </w:r>
    </w:p>
    <w:p w14:paraId="78D16ADB">
      <w:pPr>
        <w:rPr>
          <w:rFonts w:hint="eastAsia"/>
        </w:rPr>
      </w:pPr>
      <w:r>
        <w:rPr>
          <w:rFonts w:hint="eastAsia"/>
        </w:rPr>
        <w:t>Linear Interpolation: Used when a value falls between two known data points (e.g., between P25 and P50).</w:t>
      </w:r>
    </w:p>
    <w:p w14:paraId="4A6BA868">
      <w:pPr>
        <w:rPr>
          <w:rFonts w:hint="eastAsia"/>
        </w:rPr>
      </w:pPr>
      <w:r>
        <w:rPr>
          <w:rFonts w:hint="eastAsia"/>
        </w:rPr>
        <w:t>Boundary Values: If a value is outside the reported range (e.g., ＞P75), it will be calculated as the boundary value (75) for aggregation purposes.</w:t>
      </w:r>
    </w:p>
    <w:p w14:paraId="1EEEE617">
      <w:pPr>
        <w:rPr>
          <w:rFonts w:hint="eastAsia"/>
        </w:rPr>
      </w:pPr>
      <w:r>
        <w:rPr>
          <w:rFonts w:hint="eastAsia"/>
        </w:rPr>
        <w:t>Single Point Data: If a report only provides a Median (P50):</w:t>
      </w:r>
    </w:p>
    <w:p w14:paraId="0F6B0F61">
      <w:pPr>
        <w:rPr>
          <w:rFonts w:hint="eastAsia"/>
        </w:rPr>
      </w:pPr>
      <w:r>
        <w:rPr>
          <w:rFonts w:hint="eastAsia"/>
        </w:rPr>
        <w:t>Above Median = 75.</w:t>
      </w:r>
    </w:p>
    <w:p w14:paraId="6BC86769">
      <w:pPr>
        <w:rPr>
          <w:rFonts w:hint="eastAsia"/>
        </w:rPr>
      </w:pPr>
      <w:r>
        <w:rPr>
          <w:rFonts w:hint="eastAsia"/>
        </w:rPr>
        <w:t>Below Median = 25.</w:t>
      </w:r>
    </w:p>
    <w:p w14:paraId="6A7B0DAC">
      <w:pPr>
        <w:rPr>
          <w:rFonts w:hint="eastAsia"/>
        </w:rPr>
      </w:pPr>
      <w:r>
        <w:rPr>
          <w:rFonts w:hint="eastAsia"/>
        </w:rPr>
        <w:t>Equal to Median = 50.</w:t>
      </w:r>
    </w:p>
    <w:p w14:paraId="5FBC4159">
      <w:pPr>
        <w:rPr>
          <w:rFonts w:hint="eastAsia"/>
        </w:rPr>
      </w:pPr>
      <w:r>
        <w:rPr>
          <w:rFonts w:hint="eastAsia"/>
        </w:rPr>
        <w:t>Weighting:</w:t>
      </w:r>
    </w:p>
    <w:p w14:paraId="7B1110D5">
      <w:pPr>
        <w:rPr>
          <w:rFonts w:hint="eastAsia"/>
        </w:rPr>
      </w:pPr>
      <w:r>
        <w:rPr>
          <w:rFonts w:hint="eastAsia"/>
        </w:rPr>
        <w:t>Category Score: Arithmetic mean of all valid metric percentiles within that category.</w:t>
      </w:r>
    </w:p>
    <w:p w14:paraId="19F6AF29">
      <w:pPr>
        <w:rPr>
          <w:rFonts w:hint="eastAsia"/>
        </w:rPr>
      </w:pPr>
      <w:r>
        <w:rPr>
          <w:rFonts w:hint="eastAsia"/>
        </w:rPr>
        <w:t>Overall Score: Arithmetic mean of the four category scores.</w:t>
      </w:r>
    </w:p>
    <w:p w14:paraId="070570BC">
      <w:pPr>
        <w:rPr>
          <w:rFonts w:hint="eastAsia"/>
        </w:rPr>
      </w:pPr>
      <w:r>
        <w:rPr>
          <w:rFonts w:hint="eastAsia"/>
        </w:rPr>
        <w:t>Indication of estimated percentiles are used.</w:t>
      </w:r>
    </w:p>
    <w:p w14:paraId="58671FC2">
      <w:pPr>
        <w:rPr>
          <w:rFonts w:hint="eastAsia"/>
        </w:rPr>
      </w:pPr>
      <w:r>
        <w:rPr>
          <w:rFonts w:hint="eastAsia"/>
        </w:rPr>
        <w:t>Cohort Handling</w:t>
      </w:r>
    </w:p>
    <w:p w14:paraId="7369E67A">
      <w:pPr>
        <w:rPr>
          <w:rFonts w:hint="eastAsia"/>
        </w:rPr>
      </w:pPr>
      <w:r>
        <w:rPr>
          <w:rFonts w:hint="eastAsia"/>
        </w:rPr>
        <w:t>Industry cohort definitions are driven exclusively by the external benchmark source.</w:t>
      </w:r>
    </w:p>
    <w:p w14:paraId="18799D81">
      <w:pPr>
        <w:rPr>
          <w:rFonts w:hint="eastAsia"/>
        </w:rPr>
      </w:pPr>
      <w:r>
        <w:rPr>
          <w:rFonts w:hint="eastAsia"/>
        </w:rPr>
        <w:t>Cohort criteria used are stored and exposed as metadata.</w:t>
      </w:r>
    </w:p>
    <w:p w14:paraId="3409E5C3">
      <w:pPr>
        <w:rPr>
          <w:rFonts w:hint="eastAsia"/>
        </w:rPr>
      </w:pPr>
      <w:r>
        <w:rPr>
          <w:rFonts w:hint="eastAsia"/>
        </w:rPr>
        <w:t>Explainability &amp; Attribution</w:t>
      </w:r>
    </w:p>
    <w:p w14:paraId="1E847970">
      <w:pPr>
        <w:rPr>
          <w:rFonts w:hint="eastAsia"/>
        </w:rPr>
      </w:pPr>
      <w:r>
        <w:rPr>
          <w:rFonts w:hint="eastAsia"/>
        </w:rPr>
        <w:t>Each industry ranking result records:</w:t>
      </w:r>
    </w:p>
    <w:p w14:paraId="063EB29D">
      <w:pPr>
        <w:rPr>
          <w:rFonts w:hint="eastAsia"/>
        </w:rPr>
      </w:pPr>
      <w:r>
        <w:rPr>
          <w:rFonts w:hint="eastAsia"/>
        </w:rPr>
        <w:t>Benchmark source</w:t>
      </w:r>
    </w:p>
    <w:p w14:paraId="632EFA8B">
      <w:pPr>
        <w:rPr>
          <w:rFonts w:hint="eastAsia"/>
        </w:rPr>
      </w:pPr>
      <w:r>
        <w:rPr>
          <w:rFonts w:hint="eastAsia"/>
        </w:rPr>
        <w:t>Year/version</w:t>
      </w:r>
    </w:p>
    <w:p w14:paraId="26524E63">
      <w:pPr>
        <w:rPr>
          <w:rFonts w:hint="eastAsia"/>
        </w:rPr>
      </w:pPr>
      <w:r>
        <w:rPr>
          <w:rFonts w:hint="eastAsia"/>
        </w:rPr>
        <w:t>Cohort definition</w:t>
      </w:r>
    </w:p>
    <w:p w14:paraId="6412A44E">
      <w:pPr>
        <w:rPr>
          <w:rFonts w:hint="eastAsia"/>
        </w:rPr>
      </w:pPr>
      <w:r>
        <w:rPr>
          <w:rFonts w:hint="eastAsia"/>
        </w:rPr>
        <w:t>Summary statistics used</w:t>
      </w:r>
    </w:p>
    <w:p w14:paraId="5B68F6D3">
      <w:pPr>
        <w:rPr>
          <w:rFonts w:hint="eastAsia"/>
        </w:rPr>
      </w:pPr>
      <w:r>
        <w:rPr>
          <w:rFonts w:hint="eastAsia"/>
        </w:rPr>
        <w:t>Any assumptions or interpolation logic applied</w:t>
      </w:r>
    </w:p>
    <w:p w14:paraId="4129AF8D">
      <w:pPr>
        <w:rPr>
          <w:rFonts w:hint="eastAsia"/>
        </w:rPr>
      </w:pPr>
      <w:r>
        <w:rPr>
          <w:rFonts w:hint="eastAsia"/>
        </w:rPr>
        <w:t>Results are reproducible using the same benchmark dataset and inputs.</w:t>
      </w:r>
    </w:p>
    <w:p w14:paraId="2D86F7E3">
      <w:pPr>
        <w:rPr>
          <w:rFonts w:hint="eastAsia"/>
        </w:rPr>
      </w:pPr>
      <w:r>
        <w:rPr>
          <w:rFonts w:hint="eastAsia"/>
        </w:rPr>
        <w:t>Edge Case Handling</w:t>
      </w:r>
    </w:p>
    <w:p w14:paraId="6A4D9057">
      <w:pPr>
        <w:rPr>
          <w:rFonts w:hint="eastAsia"/>
        </w:rPr>
      </w:pPr>
      <w:r>
        <w:rPr>
          <w:rFonts w:hint="eastAsia"/>
        </w:rPr>
        <w:t>If a company’s metric falls outside the provided benchmark range:</w:t>
      </w:r>
    </w:p>
    <w:p w14:paraId="4AEDDB13">
      <w:pPr>
        <w:rPr>
          <w:rFonts w:hint="eastAsia"/>
        </w:rPr>
      </w:pPr>
      <w:r>
        <w:rPr>
          <w:rFonts w:hint="eastAsia"/>
        </w:rPr>
        <w:t>The system assigns an “above range” or “below range” designation.</w:t>
      </w:r>
    </w:p>
    <w:p w14:paraId="0A9EB3A6">
      <w:pPr>
        <w:rPr>
          <w:rFonts w:hint="eastAsia"/>
        </w:rPr>
      </w:pPr>
      <w:r>
        <w:rPr>
          <w:rFonts w:hint="eastAsia"/>
        </w:rPr>
        <w:t>If insufficient benchmark data exists:</w:t>
      </w:r>
    </w:p>
    <w:p w14:paraId="55BCA4B4">
      <w:pPr>
        <w:rPr>
          <w:rFonts w:hint="eastAsia"/>
        </w:rPr>
      </w:pPr>
      <w:r>
        <w:rPr>
          <w:rFonts w:hint="eastAsia"/>
        </w:rPr>
        <w:t>The system flags the metric as “Not Benchmarked.”</w:t>
      </w:r>
    </w:p>
    <w:p w14:paraId="726167E3">
      <w:pPr>
        <w:rPr>
          <w:rFonts w:hint="eastAsia"/>
        </w:rPr>
      </w:pPr>
      <w:r>
        <w:rPr>
          <w:rFonts w:hint="eastAsia"/>
        </w:rPr>
        <w:t>System</w:t>
      </w:r>
    </w:p>
    <w:p w14:paraId="6CFA8E17">
      <w:pPr>
        <w:rPr>
          <w:rFonts w:hint="eastAsia"/>
        </w:rPr>
      </w:pPr>
      <w:r>
        <w:rPr>
          <w:rFonts w:hint="eastAsia"/>
        </w:rPr>
        <w:t>Only one benchmark source can be selected at one time for all metrics</w:t>
      </w:r>
    </w:p>
    <w:p w14:paraId="6ABA05CB">
      <w:pPr>
        <w:rPr>
          <w:rFonts w:hint="eastAsia"/>
        </w:rPr>
      </w:pPr>
      <w:r>
        <w:rPr>
          <w:rFonts w:hint="eastAsia"/>
        </w:rPr>
        <w:t>Engine allows for UI consumption</w:t>
      </w:r>
    </w:p>
    <w:p w14:paraId="28ECE95C">
      <w:pPr>
        <w:rPr>
          <w:rFonts w:hint="eastAsia"/>
        </w:rPr>
      </w:pPr>
      <w:r>
        <w:rPr>
          <w:rFonts w:hint="eastAsia"/>
        </w:rPr>
        <w:t>Clear distinction is maintained between:</w:t>
      </w:r>
    </w:p>
    <w:p w14:paraId="681C065A">
      <w:pPr>
        <w:rPr>
          <w:rFonts w:hint="eastAsia"/>
        </w:rPr>
      </w:pPr>
      <w:r>
        <w:rPr>
          <w:rFonts w:hint="eastAsia"/>
        </w:rPr>
        <w:t>Peer-relative percentiles</w:t>
      </w:r>
    </w:p>
    <w:p w14:paraId="7601ED7A">
      <w:pPr>
        <w:rPr>
          <w:rFonts w:hint="eastAsia"/>
        </w:rPr>
      </w:pPr>
      <w:r>
        <w:rPr>
          <w:rFonts w:hint="eastAsia"/>
        </w:rPr>
        <w:t>Portfolio-relative percentiles</w:t>
      </w:r>
    </w:p>
    <w:p w14:paraId="10B1FA50">
      <w:pPr>
        <w:rPr>
          <w:rFonts w:hint="eastAsia"/>
        </w:rPr>
      </w:pPr>
      <w:r>
        <w:rPr>
          <w:rFonts w:hint="eastAsia"/>
        </w:rPr>
        <w:t>Industry-relative percentiles</w:t>
      </w:r>
    </w:p>
    <w:p w14:paraId="7C5B9773">
      <w:pPr>
        <w:rPr>
          <w:rFonts w:hint="eastAsia"/>
        </w:rPr>
      </w:pPr>
    </w:p>
    <w:p w14:paraId="0656771A">
      <w:pPr>
        <w:pStyle w:val="2"/>
        <w:bidi w:val="0"/>
        <w:rPr>
          <w:rFonts w:hint="eastAsia"/>
        </w:rPr>
      </w:pPr>
      <w:r>
        <w:rPr>
          <w:rFonts w:hint="eastAsia"/>
        </w:rPr>
        <w:t>Create Benchmark Data Model and Storage Infrastructure</w:t>
      </w:r>
    </w:p>
    <w:p w14:paraId="1E4A2C9D">
      <w:pPr>
        <w:rPr>
          <w:rFonts w:hint="eastAsia"/>
        </w:rPr>
      </w:pPr>
      <w:r>
        <w:rPr>
          <w:rFonts w:hint="eastAsia"/>
        </w:rPr>
        <w:t xml:space="preserve">Business Requirements: </w:t>
      </w:r>
    </w:p>
    <w:p w14:paraId="2DFD6605">
      <w:pPr>
        <w:rPr>
          <w:rFonts w:hint="eastAsia"/>
        </w:rPr>
      </w:pPr>
      <w:r>
        <w:rPr>
          <w:rFonts w:hint="eastAsia"/>
        </w:rPr>
        <w:t>Looking Glass requires a flexible and scalable benchmark data model capable of supporting multiple benchmark sources, including internally generated LG benchmarks (derived from normalized company data) and third-party benchmark surveys. The architecture must support the coexistence of differing metric definitions and calculation methodologies while maintaining transparency around source, version, and confidence level.</w:t>
      </w:r>
    </w:p>
    <w:p w14:paraId="5C5F0388">
      <w:pPr>
        <w:rPr>
          <w:rFonts w:hint="eastAsia"/>
        </w:rPr>
      </w:pPr>
    </w:p>
    <w:p w14:paraId="23C0110D">
      <w:pPr>
        <w:rPr>
          <w:rFonts w:hint="eastAsia"/>
        </w:rPr>
      </w:pPr>
      <w:r>
        <w:rPr>
          <w:rFonts w:hint="eastAsia"/>
        </w:rPr>
        <w:t>All LG-native benchmark distributions must be generated exclusively from normalized metric values, ensuring that peer comparisons are based on apples-to-apples data regardless of company-specific accounting practices or currency differences. External industry benchmarks will continue to be stored as summary statistics rather than raw datasets and are intended to provide directional industry context rather than exact metric equivalence. The data model must support historical versioning, multiple benchmark sources per metric, and future extensibility without requiring schema refactors as new benchmark providers, metrics, or calculation methods are introduced.</w:t>
      </w:r>
    </w:p>
    <w:p w14:paraId="51386E51">
      <w:pPr>
        <w:rPr>
          <w:rFonts w:hint="eastAsia"/>
        </w:rPr>
      </w:pPr>
    </w:p>
    <w:p w14:paraId="2EF019DF">
      <w:pPr>
        <w:rPr>
          <w:rFonts w:hint="eastAsia"/>
        </w:rPr>
      </w:pPr>
      <w:r>
        <w:rPr>
          <w:rFonts w:hint="eastAsia"/>
        </w:rPr>
        <w:t>The system must define a set of LG native benchmark metrics that are supported for internal (peer relative or portfolio benchmark) benchmarking and external (industry survey) comparison. These metrics represent the standardized analytical surface area of Looking Glass benchmarking.</w:t>
      </w:r>
    </w:p>
    <w:p w14:paraId="599D620B">
      <w:pPr>
        <w:rPr>
          <w:rFonts w:hint="eastAsia"/>
        </w:rPr>
      </w:pPr>
    </w:p>
    <w:p w14:paraId="4C14FD58">
      <w:pPr>
        <w:rPr>
          <w:rFonts w:hint="eastAsia"/>
        </w:rPr>
      </w:pPr>
      <w:r>
        <w:rPr>
          <w:rFonts w:hint="eastAsia"/>
        </w:rPr>
        <w:t xml:space="preserve">LG Primary Metrics (MVP) </w:t>
      </w:r>
    </w:p>
    <w:p w14:paraId="6899A058">
      <w:pPr>
        <w:rPr>
          <w:rFonts w:hint="eastAsia"/>
        </w:rPr>
      </w:pPr>
      <w:r>
        <w:rPr>
          <w:rFonts w:hint="eastAsia"/>
        </w:rPr>
        <w:t>These metrics must be fully supported across:</w:t>
      </w:r>
    </w:p>
    <w:p w14:paraId="55759CC4">
      <w:pPr>
        <w:rPr>
          <w:rFonts w:hint="eastAsia"/>
        </w:rPr>
      </w:pPr>
      <w:r>
        <w:rPr>
          <w:rFonts w:hint="eastAsia"/>
        </w:rPr>
        <w:t>Data modeling</w:t>
      </w:r>
    </w:p>
    <w:p w14:paraId="328968E6">
      <w:pPr>
        <w:rPr>
          <w:rFonts w:hint="eastAsia"/>
        </w:rPr>
      </w:pPr>
      <w:r>
        <w:rPr>
          <w:rFonts w:hint="eastAsia"/>
        </w:rPr>
        <w:t>Peer-relative percentile ranking or percentile ranking among portfolio benchmark</w:t>
      </w:r>
    </w:p>
    <w:p w14:paraId="16675B8D">
      <w:pPr>
        <w:rPr>
          <w:rFonts w:hint="eastAsia"/>
        </w:rPr>
      </w:pPr>
      <w:r>
        <w:rPr>
          <w:rFonts w:hint="eastAsia"/>
        </w:rPr>
        <w:t>Benchmark comparison UI</w:t>
      </w:r>
    </w:p>
    <w:p w14:paraId="59F71474">
      <w:pPr>
        <w:rPr>
          <w:rFonts w:hint="eastAsia"/>
        </w:rPr>
      </w:pPr>
      <w:r>
        <w:rPr>
          <w:rFonts w:hint="eastAsia"/>
        </w:rPr>
        <w:t>Revenue &amp; Growth</w:t>
      </w:r>
    </w:p>
    <w:p w14:paraId="76A3FBAB">
      <w:pPr>
        <w:rPr>
          <w:rFonts w:hint="eastAsia"/>
        </w:rPr>
      </w:pPr>
      <w:r>
        <w:rPr>
          <w:rFonts w:hint="eastAsia"/>
        </w:rPr>
        <w:t>ARR Growth Rate</w:t>
      </w:r>
    </w:p>
    <w:p w14:paraId="7E439DE7">
      <w:pPr>
        <w:rPr>
          <w:rFonts w:hint="eastAsia"/>
        </w:rPr>
      </w:pPr>
      <w:r>
        <w:rPr>
          <w:rFonts w:hint="eastAsia"/>
        </w:rPr>
        <w:t>Profitability &amp; Efficiency</w:t>
      </w:r>
    </w:p>
    <w:p w14:paraId="1E5E21F9">
      <w:pPr>
        <w:rPr>
          <w:rFonts w:hint="eastAsia"/>
        </w:rPr>
      </w:pPr>
      <w:r>
        <w:rPr>
          <w:rFonts w:hint="eastAsia"/>
        </w:rPr>
        <w:t>Gross Margin</w:t>
      </w:r>
    </w:p>
    <w:p w14:paraId="54CA6D03">
      <w:pPr>
        <w:rPr>
          <w:rFonts w:hint="eastAsia"/>
        </w:rPr>
      </w:pPr>
      <w:r>
        <w:rPr>
          <w:rFonts w:hint="eastAsia"/>
        </w:rPr>
        <w:t>Burn &amp; Runway (High Priority)</w:t>
      </w:r>
    </w:p>
    <w:p w14:paraId="4BBA2473">
      <w:pPr>
        <w:rPr>
          <w:rFonts w:hint="eastAsia"/>
        </w:rPr>
      </w:pPr>
      <w:r>
        <w:rPr>
          <w:rFonts w:hint="eastAsia"/>
        </w:rPr>
        <w:t>Monthly Net Burn Rate</w:t>
      </w:r>
    </w:p>
    <w:p w14:paraId="7E5A3233">
      <w:pPr>
        <w:rPr>
          <w:rFonts w:hint="eastAsia"/>
        </w:rPr>
      </w:pPr>
      <w:r>
        <w:rPr>
          <w:rFonts w:hint="eastAsia"/>
        </w:rPr>
        <w:t>Monthly Runway</w:t>
      </w:r>
    </w:p>
    <w:p w14:paraId="7DC4675E">
      <w:pPr>
        <w:rPr>
          <w:rFonts w:hint="eastAsia"/>
        </w:rPr>
      </w:pPr>
      <w:r>
        <w:rPr>
          <w:rFonts w:hint="eastAsia"/>
        </w:rPr>
        <w:t>Capital Efficiency</w:t>
      </w:r>
    </w:p>
    <w:p w14:paraId="6DDE6C5D">
      <w:pPr>
        <w:rPr>
          <w:rFonts w:hint="eastAsia"/>
        </w:rPr>
      </w:pPr>
      <w:r>
        <w:rPr>
          <w:rFonts w:hint="eastAsia"/>
        </w:rPr>
        <w:t>Rule of 40</w:t>
      </w:r>
    </w:p>
    <w:p w14:paraId="1DD23186">
      <w:pPr>
        <w:rPr>
          <w:rFonts w:hint="eastAsia"/>
        </w:rPr>
      </w:pPr>
      <w:r>
        <w:rPr>
          <w:rFonts w:hint="eastAsia"/>
        </w:rPr>
        <w:t>Sales Efficiency Ratio</w:t>
      </w:r>
    </w:p>
    <w:p w14:paraId="2E5711E1">
      <w:pPr>
        <w:rPr>
          <w:rFonts w:hint="eastAsia"/>
        </w:rPr>
      </w:pPr>
      <w:r>
        <w:rPr>
          <w:rFonts w:hint="eastAsia"/>
        </w:rPr>
        <w:t>Industry Data</w:t>
      </w:r>
    </w:p>
    <w:p w14:paraId="42B005D8">
      <w:pPr>
        <w:rPr>
          <w:rFonts w:hint="eastAsia"/>
        </w:rPr>
      </w:pPr>
      <w:r>
        <w:rPr>
          <w:rFonts w:hint="eastAsia"/>
        </w:rPr>
        <w:t>The benchmark data model must include any external data from the benchmark survey reports that is needed to support the LG benchmark metrics (NOTE: To be reviewed by SME to assist with which benchmark industry data to include)</w:t>
      </w:r>
    </w:p>
    <w:p w14:paraId="10936055">
      <w:pPr>
        <w:rPr>
          <w:rFonts w:hint="eastAsia"/>
        </w:rPr>
      </w:pPr>
    </w:p>
    <w:p w14:paraId="6CD85FB3">
      <w:pPr>
        <w:rPr>
          <w:rFonts w:hint="eastAsia"/>
        </w:rPr>
      </w:pPr>
      <w:r>
        <w:rPr>
          <w:rFonts w:hint="eastAsia"/>
        </w:rPr>
        <w:t>Acceptance Criteria</w:t>
      </w:r>
    </w:p>
    <w:p w14:paraId="3E2A13C9">
      <w:pPr>
        <w:rPr>
          <w:rFonts w:hint="eastAsia"/>
        </w:rPr>
      </w:pPr>
      <w:r>
        <w:rPr>
          <w:rFonts w:hint="eastAsia"/>
        </w:rPr>
        <w:t>Benchmark Storage &amp; Structure</w:t>
      </w:r>
    </w:p>
    <w:p w14:paraId="4499FCF7">
      <w:pPr>
        <w:rPr>
          <w:rFonts w:hint="eastAsia"/>
        </w:rPr>
      </w:pPr>
      <w:r>
        <w:rPr>
          <w:rFonts w:hint="eastAsia"/>
        </w:rPr>
        <w:t>Each benchmark metric supports multiple sources:</w:t>
      </w:r>
    </w:p>
    <w:p w14:paraId="5934FA55">
      <w:pPr>
        <w:rPr>
          <w:rFonts w:hint="eastAsia"/>
        </w:rPr>
      </w:pPr>
      <w:r>
        <w:rPr>
          <w:rFonts w:hint="eastAsia"/>
        </w:rPr>
        <w:t>LG-derived benchmark (from normalized data)</w:t>
      </w:r>
    </w:p>
    <w:p w14:paraId="350B9DD8">
      <w:pPr>
        <w:rPr>
          <w:rFonts w:hint="eastAsia"/>
        </w:rPr>
      </w:pPr>
      <w:r>
        <w:rPr>
          <w:rFonts w:hint="eastAsia"/>
        </w:rPr>
        <w:t>Third-party benchmark provider</w:t>
      </w:r>
    </w:p>
    <w:p w14:paraId="09361E11">
      <w:pPr>
        <w:rPr>
          <w:rFonts w:hint="eastAsia"/>
        </w:rPr>
      </w:pPr>
      <w:r>
        <w:rPr>
          <w:rFonts w:hint="eastAsia"/>
        </w:rPr>
        <w:t>External benchmark sources store summary statistics only:</w:t>
      </w:r>
    </w:p>
    <w:p w14:paraId="323253A2">
      <w:pPr>
        <w:rPr>
          <w:rFonts w:hint="eastAsia"/>
        </w:rPr>
      </w:pPr>
      <w:r>
        <w:rPr>
          <w:rFonts w:hint="eastAsia"/>
        </w:rPr>
        <w:t>Median</w:t>
      </w:r>
    </w:p>
    <w:p w14:paraId="13ABF0D8">
      <w:pPr>
        <w:rPr>
          <w:rFonts w:hint="eastAsia"/>
        </w:rPr>
      </w:pPr>
      <w:r>
        <w:rPr>
          <w:rFonts w:hint="eastAsia"/>
        </w:rPr>
        <w:t>Mean</w:t>
      </w:r>
    </w:p>
    <w:p w14:paraId="2DF5879C">
      <w:pPr>
        <w:rPr>
          <w:rFonts w:hint="eastAsia"/>
        </w:rPr>
      </w:pPr>
      <w:r>
        <w:rPr>
          <w:rFonts w:hint="eastAsia"/>
        </w:rPr>
        <w:t>Quartiles / percentiles (where provided)</w:t>
      </w:r>
    </w:p>
    <w:p w14:paraId="3545DA97">
      <w:pPr>
        <w:rPr>
          <w:rFonts w:hint="eastAsia"/>
        </w:rPr>
      </w:pPr>
      <w:r>
        <w:rPr>
          <w:rFonts w:hint="eastAsia"/>
        </w:rPr>
        <w:t>LG benchmarks store:</w:t>
      </w:r>
    </w:p>
    <w:p w14:paraId="28C9F34C">
      <w:pPr>
        <w:rPr>
          <w:rFonts w:hint="eastAsia"/>
        </w:rPr>
      </w:pPr>
      <w:r>
        <w:rPr>
          <w:rFonts w:hint="eastAsia"/>
        </w:rPr>
        <w:t>Normalized metric values at the company level according to the list in under business requirements</w:t>
      </w:r>
    </w:p>
    <w:p w14:paraId="1C28E6CA">
      <w:pPr>
        <w:rPr>
          <w:rFonts w:hint="eastAsia"/>
        </w:rPr>
      </w:pPr>
      <w:r>
        <w:rPr>
          <w:rFonts w:hint="eastAsia"/>
        </w:rPr>
        <w:t>Generated percentile distributions derived from normalized data</w:t>
      </w:r>
    </w:p>
    <w:p w14:paraId="0EAB8AEF">
      <w:pPr>
        <w:rPr>
          <w:rFonts w:hint="eastAsia"/>
        </w:rPr>
      </w:pPr>
      <w:r>
        <w:rPr>
          <w:rFonts w:hint="eastAsia"/>
        </w:rPr>
        <w:t>Metadata &amp; Versioning</w:t>
      </w:r>
    </w:p>
    <w:p w14:paraId="7302DFEA">
      <w:pPr>
        <w:rPr>
          <w:rFonts w:hint="eastAsia"/>
        </w:rPr>
      </w:pPr>
      <w:r>
        <w:rPr>
          <w:rFonts w:hint="eastAsia"/>
        </w:rPr>
        <w:t>Each industry benchmark dataset includes:</w:t>
      </w:r>
    </w:p>
    <w:p w14:paraId="2D2D8CFE">
      <w:pPr>
        <w:rPr>
          <w:rFonts w:hint="eastAsia"/>
        </w:rPr>
      </w:pPr>
      <w:r>
        <w:rPr>
          <w:rFonts w:hint="eastAsia"/>
        </w:rPr>
        <w:t>Source name</w:t>
      </w:r>
    </w:p>
    <w:p w14:paraId="7A51E4D0">
      <w:pPr>
        <w:rPr>
          <w:rFonts w:hint="eastAsia"/>
        </w:rPr>
      </w:pPr>
      <w:r>
        <w:rPr>
          <w:rFonts w:hint="eastAsia"/>
        </w:rPr>
        <w:t>Publication year</w:t>
      </w:r>
    </w:p>
    <w:p w14:paraId="4182C304">
      <w:pPr>
        <w:rPr>
          <w:rFonts w:hint="eastAsia"/>
        </w:rPr>
      </w:pPr>
      <w:r>
        <w:rPr>
          <w:rFonts w:hint="eastAsia"/>
        </w:rPr>
        <w:t>Version identifier</w:t>
      </w:r>
    </w:p>
    <w:p w14:paraId="5F2B63A0">
      <w:pPr>
        <w:rPr>
          <w:rFonts w:hint="eastAsia"/>
        </w:rPr>
      </w:pPr>
      <w:r>
        <w:rPr>
          <w:rFonts w:hint="eastAsia"/>
        </w:rPr>
        <w:t>Confidence level (Exact / Best Guess / Inferred)</w:t>
      </w:r>
    </w:p>
    <w:p w14:paraId="2369F6E9">
      <w:pPr>
        <w:rPr>
          <w:rFonts w:hint="eastAsia"/>
        </w:rPr>
      </w:pPr>
      <w:r>
        <w:rPr>
          <w:rFonts w:hint="eastAsia"/>
        </w:rPr>
        <w:t>Notes on calculation methodology</w:t>
      </w:r>
    </w:p>
    <w:p w14:paraId="20D372D4">
      <w:pPr>
        <w:rPr>
          <w:rFonts w:hint="eastAsia"/>
        </w:rPr>
      </w:pPr>
      <w:r>
        <w:rPr>
          <w:rFonts w:hint="eastAsia"/>
        </w:rPr>
        <w:t>Benchmark datasets are versioned so historical years remain accessible and immutable</w:t>
      </w:r>
    </w:p>
    <w:p w14:paraId="4D38D233">
      <w:pPr>
        <w:rPr>
          <w:rFonts w:hint="eastAsia"/>
        </w:rPr>
      </w:pPr>
      <w:r>
        <w:rPr>
          <w:rFonts w:hint="eastAsia"/>
        </w:rPr>
        <w:t>Formula Transparency</w:t>
      </w:r>
    </w:p>
    <w:p w14:paraId="40DC5FF8">
      <w:pPr>
        <w:rPr>
          <w:rFonts w:hint="eastAsia"/>
        </w:rPr>
      </w:pPr>
      <w:r>
        <w:rPr>
          <w:rFonts w:hint="eastAsia"/>
        </w:rPr>
        <w:t>The system supports storing:</w:t>
      </w:r>
    </w:p>
    <w:p w14:paraId="57A4AC6D">
      <w:pPr>
        <w:rPr>
          <w:rFonts w:hint="eastAsia"/>
        </w:rPr>
      </w:pPr>
      <w:r>
        <w:rPr>
          <w:rFonts w:hint="eastAsia"/>
        </w:rPr>
        <w:t>LG metric definition</w:t>
      </w:r>
    </w:p>
    <w:p w14:paraId="0825234E">
      <w:pPr>
        <w:rPr>
          <w:rFonts w:hint="eastAsia"/>
        </w:rPr>
      </w:pPr>
      <w:r>
        <w:rPr>
          <w:rFonts w:hint="eastAsia"/>
        </w:rPr>
        <w:t>External benchmark definition (when known)</w:t>
      </w:r>
    </w:p>
    <w:p w14:paraId="20976809">
      <w:pPr>
        <w:rPr>
          <w:rFonts w:hint="eastAsia"/>
        </w:rPr>
      </w:pPr>
      <w:r>
        <w:rPr>
          <w:rFonts w:hint="eastAsia"/>
        </w:rPr>
        <w:t>A “Best Guess” flag when documentation is incomplete</w:t>
      </w:r>
    </w:p>
    <w:p w14:paraId="459D5A09">
      <w:pPr>
        <w:rPr>
          <w:rFonts w:hint="eastAsia"/>
        </w:rPr>
      </w:pPr>
      <w:r>
        <w:rPr>
          <w:rFonts w:hint="eastAsia"/>
        </w:rPr>
        <w:t>The system does not attempt to reconcile or auto-convert formulas between sources</w:t>
      </w:r>
    </w:p>
    <w:p w14:paraId="5AD6C56D">
      <w:pPr>
        <w:rPr>
          <w:rFonts w:hint="eastAsia"/>
        </w:rPr>
      </w:pPr>
      <w:r>
        <w:rPr>
          <w:rFonts w:hint="eastAsia"/>
        </w:rPr>
        <w:t>Annualization &amp; Context</w:t>
      </w:r>
    </w:p>
    <w:p w14:paraId="32523A66">
      <w:pPr>
        <w:rPr>
          <w:rFonts w:hint="eastAsia"/>
        </w:rPr>
      </w:pPr>
      <w:r>
        <w:rPr>
          <w:rFonts w:hint="eastAsia"/>
        </w:rPr>
        <w:t>The system supports annualized benchmark comparisons using normalized monthly data</w:t>
      </w:r>
    </w:p>
    <w:p w14:paraId="0B989F81">
      <w:pPr>
        <w:rPr>
          <w:rFonts w:hint="eastAsia"/>
        </w:rPr>
      </w:pPr>
      <w:r>
        <w:rPr>
          <w:rFonts w:hint="eastAsia"/>
        </w:rPr>
        <w:t>Each benchmarked value records:</w:t>
      </w:r>
    </w:p>
    <w:p w14:paraId="15D9F6A4">
      <w:pPr>
        <w:rPr>
          <w:rFonts w:hint="eastAsia"/>
        </w:rPr>
      </w:pPr>
      <w:r>
        <w:rPr>
          <w:rFonts w:hint="eastAsia"/>
        </w:rPr>
        <w:t>Annualization method used (e.g., TTM, last month × 12)</w:t>
      </w:r>
    </w:p>
    <w:p w14:paraId="011F3EA2">
      <w:pPr>
        <w:rPr>
          <w:rFonts w:hint="eastAsia"/>
        </w:rPr>
      </w:pPr>
      <w:r>
        <w:rPr>
          <w:rFonts w:hint="eastAsia"/>
        </w:rPr>
        <w:t>Annualization logic is explicit and stored alongside benchmark results</w:t>
      </w:r>
    </w:p>
    <w:p w14:paraId="3AFAC5D8">
      <w:pPr>
        <w:rPr>
          <w:rFonts w:hint="eastAsia"/>
        </w:rPr>
      </w:pPr>
      <w:r>
        <w:rPr>
          <w:rFonts w:hint="eastAsia"/>
        </w:rPr>
        <w:t>Exclusions &amp; Filters</w:t>
      </w:r>
    </w:p>
    <w:p w14:paraId="7116F0C6">
      <w:pPr>
        <w:rPr>
          <w:rFonts w:hint="eastAsia"/>
        </w:rPr>
      </w:pPr>
      <w:r>
        <w:rPr>
          <w:rFonts w:hint="eastAsia"/>
        </w:rPr>
        <w:t>LG benchmark generation excludes companies with:</w:t>
      </w:r>
    </w:p>
    <w:p w14:paraId="227AB849">
      <w:pPr>
        <w:rPr>
          <w:rFonts w:hint="eastAsia"/>
        </w:rPr>
      </w:pPr>
      <w:r>
        <w:rPr>
          <w:rFonts w:hint="eastAsia"/>
        </w:rPr>
        <w:t xml:space="preserve">Status = “Exited” or “Shut Down” </w:t>
      </w:r>
    </w:p>
    <w:p w14:paraId="644CF147">
      <w:pPr>
        <w:rPr>
          <w:rFonts w:hint="eastAsia"/>
        </w:rPr>
      </w:pPr>
      <w:r>
        <w:rPr>
          <w:rFonts w:hint="eastAsia"/>
        </w:rPr>
        <w:t>Deleted or "Inactive" companies</w:t>
      </w:r>
    </w:p>
    <w:p w14:paraId="30EA0267">
      <w:pPr>
        <w:rPr>
          <w:rFonts w:hint="eastAsia"/>
        </w:rPr>
      </w:pPr>
    </w:p>
    <w:p w14:paraId="3DE045C4">
      <w:pPr>
        <w:pStyle w:val="2"/>
        <w:bidi w:val="0"/>
        <w:rPr>
          <w:rFonts w:hint="eastAsia"/>
          <w:lang w:eastAsia="zh-CN"/>
        </w:rPr>
      </w:pPr>
      <w:r>
        <w:rPr>
          <w:rFonts w:hint="eastAsia"/>
          <w:lang w:eastAsia="zh-CN"/>
        </w:rPr>
        <w:t>Implement Peer-Relative Percentile Ranking Engine</w:t>
      </w:r>
    </w:p>
    <w:p w14:paraId="594F6AA9">
      <w:pPr>
        <w:pStyle w:val="2"/>
        <w:keepNext w:val="0"/>
        <w:keepLines w:val="0"/>
        <w:widowControl/>
        <w:suppressLineNumbers w:val="0"/>
        <w:rPr>
          <w:rFonts w:hint="eastAsia" w:ascii="微软雅黑" w:hAnsi="微软雅黑" w:eastAsia="微软雅黑" w:cs="微软雅黑"/>
          <w:woUserID w:val="1"/>
        </w:rPr>
      </w:pPr>
      <w:r>
        <w:rPr>
          <w:rStyle w:val="6"/>
          <w:rFonts w:hint="eastAsia" w:ascii="微软雅黑" w:hAnsi="微软雅黑" w:eastAsia="微软雅黑" w:cs="微软雅黑"/>
          <w:b/>
          <w:woUserID w:val="1"/>
        </w:rPr>
        <w:t>Business Requirements:</w:t>
      </w:r>
      <w:r>
        <w:rPr>
          <w:rFonts w:hint="eastAsia" w:ascii="微软雅黑" w:hAnsi="微软雅黑" w:eastAsia="微软雅黑" w:cs="微软雅黑"/>
          <w:woUserID w:val="1"/>
        </w:rPr>
        <w:t xml:space="preserve"> </w:t>
      </w:r>
    </w:p>
    <w:p w14:paraId="2025BA11">
      <w:pPr>
        <w:pStyle w:val="3"/>
        <w:keepNext w:val="0"/>
        <w:keepLines w:val="0"/>
        <w:widowControl/>
        <w:suppressLineNumbers w:val="0"/>
        <w:rPr>
          <w:rFonts w:hint="default" w:ascii="Calibri" w:hAnsi="Calibri" w:eastAsia="微软雅黑" w:cs="Calibri"/>
          <w:woUserID w:val="1"/>
        </w:rPr>
      </w:pPr>
      <w:r>
        <w:rPr>
          <w:rFonts w:hint="default" w:ascii="Calibri" w:hAnsi="Calibri" w:eastAsia="微软雅黑" w:cs="Calibri"/>
          <w:woUserID w:val="1"/>
        </w:rPr>
        <w:t xml:space="preserve">Looking Glass must implement a backend percentile ranking engine that calculates how a LG company performs relative to its peers using normalized metric values. The engine must dynamically compute percentile rankings across defined peer cohorts, ensuring consistent, transparent, and reproducible comparisons as new data becomes available. LG Peer benchmarks are intended to answer the question: </w:t>
      </w:r>
      <w:r>
        <w:rPr>
          <w:rStyle w:val="7"/>
          <w:rFonts w:hint="default" w:ascii="Calibri" w:hAnsi="Calibri" w:eastAsia="微软雅黑" w:cs="Calibri"/>
          <w:woUserID w:val="1"/>
        </w:rPr>
        <w:t xml:space="preserve">“How does this company compare to my peers within LG?” </w:t>
      </w:r>
      <w:r>
        <w:rPr>
          <w:rFonts w:hint="default" w:ascii="Calibri" w:hAnsi="Calibri" w:eastAsia="微软雅黑" w:cs="Calibri"/>
          <w:woUserID w:val="1"/>
        </w:rPr>
        <w:t>In case of no qualified peers available, then it falls back to portfolio benchmark.</w:t>
      </w:r>
    </w:p>
    <w:p w14:paraId="2347D53A">
      <w:pPr>
        <w:pStyle w:val="3"/>
        <w:keepNext w:val="0"/>
        <w:keepLines w:val="0"/>
        <w:widowControl/>
        <w:suppressLineNumbers w:val="0"/>
        <w:rPr>
          <w:rFonts w:hint="default" w:ascii="Calibri" w:hAnsi="Calibri" w:eastAsia="微软雅黑" w:cs="Calibri"/>
          <w:woUserID w:val="1"/>
        </w:rPr>
      </w:pPr>
    </w:p>
    <w:p w14:paraId="2363FB12">
      <w:pPr>
        <w:pStyle w:val="3"/>
        <w:keepNext w:val="0"/>
        <w:keepLines w:val="0"/>
        <w:widowControl/>
        <w:suppressLineNumbers w:val="0"/>
        <w:rPr>
          <w:rFonts w:hint="default" w:ascii="Calibri" w:hAnsi="Calibri" w:eastAsia="微软雅黑" w:cs="Calibri"/>
          <w:woUserID w:val="1"/>
        </w:rPr>
      </w:pPr>
      <w:r>
        <w:rPr>
          <w:rFonts w:hint="default" w:ascii="Calibri" w:hAnsi="Calibri" w:eastAsia="微软雅黑" w:cs="Calibri"/>
          <w:woUserID w:val="1"/>
        </w:rPr>
        <w:t xml:space="preserve">Peer cohorts by default are defined based on company attributes such as company type, stage, ARR scale, and accounting method. Story </w:t>
      </w:r>
      <w:r>
        <w:rPr>
          <w:rFonts w:hint="default" w:ascii="Calibri" w:hAnsi="Calibri" w:eastAsia="微软雅黑" w:cs="Calibri"/>
          <w:woUserID w:val="1"/>
        </w:rPr>
        <w:fldChar w:fldCharType="begin"/>
      </w:r>
      <w:r>
        <w:rPr>
          <w:rFonts w:hint="default" w:ascii="Calibri" w:hAnsi="Calibri" w:eastAsia="微软雅黑" w:cs="Calibri"/>
          <w:woUserID w:val="1"/>
        </w:rPr>
        <w:instrText xml:space="preserve"> HYPERLINK "https://app.asana.com/1/1170332106480422/task/1212842693481665" </w:instrText>
      </w:r>
      <w:r>
        <w:rPr>
          <w:rFonts w:hint="default" w:ascii="Calibri" w:hAnsi="Calibri" w:eastAsia="微软雅黑" w:cs="Calibri"/>
          <w:woUserID w:val="1"/>
        </w:rPr>
        <w:fldChar w:fldCharType="separate"/>
      </w:r>
      <w:r>
        <w:rPr>
          <w:rStyle w:val="8"/>
          <w:rFonts w:hint="default" w:ascii="Calibri" w:hAnsi="Calibri" w:eastAsia="微软雅黑" w:cs="Calibri"/>
          <w:woUserID w:val="1"/>
        </w:rPr>
        <w:t>Manage Company Peer Groups</w:t>
      </w:r>
      <w:r>
        <w:rPr>
          <w:rFonts w:hint="default" w:ascii="Calibri" w:hAnsi="Calibri" w:eastAsia="微软雅黑" w:cs="Calibri"/>
          <w:woUserID w:val="1"/>
        </w:rPr>
        <w:fldChar w:fldCharType="end"/>
      </w:r>
      <w:r>
        <w:rPr>
          <w:rFonts w:hint="default" w:ascii="Calibri" w:hAnsi="Calibri" w:eastAsia="微软雅黑" w:cs="Calibri"/>
          <w:woUserID w:val="1"/>
        </w:rPr>
        <w:t>introduces Admin created peer cohorts. The engine must exclude companies that are no longer active ("Exited", "Shut Down", "Inactive") and handle edge cases gracefully. This service will be consumed by downstream analytics and UI layers but does not include any user-facing components.</w:t>
      </w:r>
    </w:p>
    <w:p w14:paraId="39843FF3">
      <w:pPr>
        <w:pStyle w:val="3"/>
        <w:keepNext w:val="0"/>
        <w:keepLines w:val="0"/>
        <w:widowControl/>
        <w:suppressLineNumbers w:val="0"/>
        <w:rPr>
          <w:rFonts w:hint="default" w:ascii="Calibri" w:hAnsi="Calibri" w:eastAsia="微软雅黑" w:cs="Calibri"/>
          <w:b w:val="0"/>
          <w:bCs w:val="0"/>
          <w:sz w:val="28"/>
          <w:szCs w:val="18"/>
          <w:woUserID w:val="1"/>
        </w:rPr>
      </w:pPr>
      <w:r>
        <w:rPr>
          <w:rFonts w:hint="default" w:ascii="Calibri" w:hAnsi="Calibri" w:eastAsia="微软雅黑" w:cs="Calibri"/>
          <w:b w:val="0"/>
          <w:bCs w:val="0"/>
          <w:sz w:val="28"/>
          <w:szCs w:val="18"/>
          <w:woUserID w:val="1"/>
        </w:rPr>
        <w:t>Acceptance Criteria</w:t>
      </w:r>
    </w:p>
    <w:p w14:paraId="2FE61383">
      <w:pPr>
        <w:pStyle w:val="3"/>
        <w:keepNext w:val="0"/>
        <w:keepLines w:val="0"/>
        <w:widowControl/>
        <w:suppressLineNumbers w:val="0"/>
        <w:rPr>
          <w:rFonts w:hint="default" w:ascii="Calibri" w:hAnsi="Calibri" w:eastAsia="微软雅黑" w:cs="Calibri"/>
          <w:woUserID w:val="1"/>
        </w:rPr>
      </w:pPr>
      <w:r>
        <w:rPr>
          <w:rStyle w:val="6"/>
          <w:rFonts w:hint="default" w:ascii="Calibri" w:hAnsi="Calibri" w:eastAsia="微软雅黑" w:cs="Calibri"/>
          <w:woUserID w:val="1"/>
        </w:rPr>
        <w:t>Percentile Positioning Logic</w:t>
      </w:r>
    </w:p>
    <w:p w14:paraId="23F29D1F">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Calculate the exact percentile ranks (0-100) for all required financial metrics across the portfolio using the Nearest Rank percentile method below:</w:t>
      </w:r>
    </w:p>
    <w:p w14:paraId="197DF936">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Sort values of stadard metrics in ascending order, but the "Monthly Net Burn Rate" in descending order.</w:t>
      </w:r>
    </w:p>
    <w:p w14:paraId="6B555767">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Find the rank of the target company in the coh</w:t>
      </w:r>
    </w:p>
    <w:p w14:paraId="79236772">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 xml:space="preserve">For percentile p (0–100), it will be: </w:t>
      </w:r>
    </w:p>
    <w:p w14:paraId="2F6C225B">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Establish Benchmark Points (P0 - P100)</w:t>
      </w:r>
    </w:p>
    <w:p w14:paraId="0D5821B3">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Data Preparation: Sort the metrics values of all peer companies in order (only "Monthly Net Burn Rate" in descending order, otherwise in ascending order)</w:t>
      </w:r>
    </w:p>
    <w:p w14:paraId="4A5A0A67">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Calculating Exact Percentile (P_target).</w:t>
      </w:r>
    </w:p>
    <w:p w14:paraId="606913FE">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Find Rank (R): Identify the company’s position in the sorted list (where the lowest value is R=1 and the highest is R=N).</w:t>
      </w:r>
    </w:p>
    <w:p w14:paraId="44FC3BB6">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Formula: P_target = (R - 1)/(N - 1) × 100 (Note: Round the percentile result to the nearest integer. And if N=1, P=100. If multiple companies have the same value, use the Standard Competition Rank.)</w:t>
      </w:r>
    </w:p>
    <w:p w14:paraId="335733D3">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Rankings are computed using normalized metric values only</w:t>
      </w:r>
    </w:p>
    <w:p w14:paraId="2DF8EF30">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The benchmark calculation will fall back to Portfolio Benchmark (all active companies within LG) if no qualified peer group available. UI Indication required.</w:t>
      </w:r>
    </w:p>
    <w:p w14:paraId="7846B2C4">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Rankings update automatically when:</w:t>
      </w:r>
    </w:p>
    <w:p w14:paraId="0AA74D6B">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Normalized data changes</w:t>
      </w:r>
    </w:p>
    <w:p w14:paraId="4CF27E9B">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Cohort filters change</w:t>
      </w:r>
    </w:p>
    <w:p w14:paraId="16F81058">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Benchmark changing between peer-relative and portfolio benchmark</w:t>
      </w:r>
    </w:p>
    <w:p w14:paraId="00597F11">
      <w:pPr>
        <w:pStyle w:val="3"/>
        <w:keepNext w:val="0"/>
        <w:keepLines w:val="0"/>
        <w:widowControl/>
        <w:suppressLineNumbers w:val="0"/>
        <w:ind w:left="0" w:leftChars="0" w:firstLine="0" w:firstLineChars="0"/>
        <w:rPr>
          <w:rFonts w:hint="default" w:ascii="Calibri" w:hAnsi="Calibri" w:eastAsia="微软雅黑" w:cs="Calibri"/>
          <w:woUserID w:val="1"/>
        </w:rPr>
      </w:pPr>
      <w:r>
        <w:rPr>
          <w:rStyle w:val="6"/>
          <w:rFonts w:hint="default" w:ascii="Calibri" w:hAnsi="Calibri" w:eastAsia="微软雅黑" w:cs="Calibri"/>
          <w:woUserID w:val="1"/>
        </w:rPr>
        <w:t>Weighting:</w:t>
      </w:r>
    </w:p>
    <w:p w14:paraId="386CA267">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Category Score: Arithmetic mean of all valid metric percentiles within that category.</w:t>
      </w:r>
    </w:p>
    <w:p w14:paraId="2FD06BB8">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Overall Score: Arithmetic mean of the four category scores.</w:t>
      </w:r>
    </w:p>
    <w:p w14:paraId="6AA790F2">
      <w:pPr>
        <w:pStyle w:val="3"/>
        <w:keepNext w:val="0"/>
        <w:keepLines w:val="0"/>
        <w:widowControl/>
        <w:suppressLineNumbers w:val="0"/>
        <w:ind w:left="0" w:leftChars="0" w:firstLine="0" w:firstLineChars="0"/>
        <w:rPr>
          <w:rFonts w:hint="default" w:ascii="Calibri" w:hAnsi="Calibri" w:eastAsia="微软雅黑" w:cs="Calibri"/>
          <w:woUserID w:val="1"/>
        </w:rPr>
      </w:pPr>
      <w:bookmarkStart w:id="0" w:name="_GoBack"/>
      <w:bookmarkEnd w:id="0"/>
      <w:r>
        <w:rPr>
          <w:rStyle w:val="6"/>
          <w:rFonts w:hint="default" w:ascii="Calibri" w:hAnsi="Calibri" w:eastAsia="微软雅黑" w:cs="Calibri"/>
          <w:woUserID w:val="1"/>
        </w:rPr>
        <w:t>Peer Cohort Definition</w:t>
      </w:r>
    </w:p>
    <w:p w14:paraId="5A06830C">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 xml:space="preserve">Utilize the peer cohort as defined in Story </w:t>
      </w:r>
      <w:r>
        <w:rPr>
          <w:rFonts w:hint="default" w:ascii="Calibri" w:hAnsi="Calibri" w:eastAsia="微软雅黑" w:cs="Calibri"/>
          <w:woUserID w:val="1"/>
        </w:rPr>
        <w:fldChar w:fldCharType="begin"/>
      </w:r>
      <w:r>
        <w:rPr>
          <w:rFonts w:hint="default" w:ascii="Calibri" w:hAnsi="Calibri" w:eastAsia="微软雅黑" w:cs="Calibri"/>
          <w:woUserID w:val="1"/>
        </w:rPr>
        <w:instrText xml:space="preserve"> HYPERLINK "https://app.asana.com/1/1170332106480422/task/1212842693481665" </w:instrText>
      </w:r>
      <w:r>
        <w:rPr>
          <w:rFonts w:hint="default" w:ascii="Calibri" w:hAnsi="Calibri" w:eastAsia="微软雅黑" w:cs="Calibri"/>
          <w:woUserID w:val="1"/>
        </w:rPr>
        <w:fldChar w:fldCharType="separate"/>
      </w:r>
      <w:r>
        <w:rPr>
          <w:rStyle w:val="8"/>
          <w:rFonts w:hint="default" w:ascii="Calibri" w:hAnsi="Calibri" w:eastAsia="微软雅黑" w:cs="Calibri"/>
          <w:woUserID w:val="1"/>
        </w:rPr>
        <w:t>Manage Company Peer Groups</w:t>
      </w:r>
      <w:r>
        <w:rPr>
          <w:rFonts w:hint="default" w:ascii="Calibri" w:hAnsi="Calibri" w:eastAsia="微软雅黑" w:cs="Calibri"/>
          <w:woUserID w:val="1"/>
        </w:rPr>
        <w:fldChar w:fldCharType="end"/>
      </w:r>
      <w:r>
        <w:rPr>
          <w:rFonts w:hint="default" w:ascii="Calibri" w:hAnsi="Calibri" w:eastAsia="微软雅黑" w:cs="Calibri"/>
          <w:woUserID w:val="1"/>
        </w:rPr>
        <w:t xml:space="preserve"> If not specified, utilized the default peer cohort as defined below</w:t>
      </w:r>
    </w:p>
    <w:p w14:paraId="413F83AA">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The default peer cohorts are defined by:</w:t>
      </w:r>
    </w:p>
    <w:p w14:paraId="543B9FD3">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Company typeCompany stage</w:t>
      </w:r>
    </w:p>
    <w:p w14:paraId="5DD37A68">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Cash vs Accrual accounting method</w:t>
      </w:r>
    </w:p>
    <w:p w14:paraId="70A060BF">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ARR scale. Use the same closed historical month as the metric value being benchmarked:</w:t>
      </w:r>
    </w:p>
    <w:p w14:paraId="38CF6C76">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$1–$250K</w:t>
      </w:r>
    </w:p>
    <w:p w14:paraId="69FF346C">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$250K–$1M</w:t>
      </w:r>
    </w:p>
    <w:p w14:paraId="2278DC17">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$1M–$5M</w:t>
      </w:r>
    </w:p>
    <w:p w14:paraId="0D5E6A77">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$5M–$20M</w:t>
      </w:r>
    </w:p>
    <w:p w14:paraId="33B677C6">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$20M+</w:t>
      </w:r>
    </w:p>
    <w:p w14:paraId="116B0517">
      <w:pPr>
        <w:pStyle w:val="3"/>
        <w:keepNext w:val="0"/>
        <w:keepLines w:val="0"/>
        <w:widowControl/>
        <w:suppressLineNumbers w:val="0"/>
        <w:rPr>
          <w:rFonts w:hint="default" w:ascii="Calibri" w:hAnsi="Calibri" w:eastAsia="微软雅黑" w:cs="Calibri"/>
          <w:woUserID w:val="1"/>
        </w:rPr>
      </w:pPr>
      <w:r>
        <w:rPr>
          <w:rStyle w:val="6"/>
          <w:rFonts w:hint="default" w:ascii="Calibri" w:hAnsi="Calibri" w:eastAsia="微软雅黑" w:cs="Calibri"/>
          <w:woUserID w:val="1"/>
        </w:rPr>
        <w:t>Exclusions &amp; Edge Cases</w:t>
      </w:r>
    </w:p>
    <w:p w14:paraId="157D2855">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Companies with status “Exited” or “Shut Down” or are "Inactive", are excluded from peer selection logic, benchmark cohorts, and do not influence industry percentiles or other peer derived analytics</w:t>
      </w:r>
    </w:p>
    <w:p w14:paraId="3A6CD59B">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Engine handles:</w:t>
      </w:r>
    </w:p>
    <w:p w14:paraId="64320654">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Single-company cohorts (Peer groups requires min. 4 companies, so it will fall back to portfolio benchmark)</w:t>
      </w:r>
    </w:p>
    <w:p w14:paraId="720B0889">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Tied metric values: Companies with the same value receive the same rank and percentile. UI indication required.</w:t>
      </w:r>
    </w:p>
    <w:p w14:paraId="6040BCA7">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Total tie: Skip the percentile and instead provide a clear indication that the value is shared across the entire peer group. And it will not be included in the metric summary.</w:t>
      </w:r>
    </w:p>
    <w:p w14:paraId="66314366">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Null or missing metrics: to be excluded from the benchmark.</w:t>
      </w:r>
    </w:p>
    <w:p w14:paraId="33786EC8">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Monthly Runway "NA" scenarios: When NA is displayed as "Monthly Runway" value for a N0n-NA month:</w:t>
      </w:r>
    </w:p>
    <w:p w14:paraId="607A9CB8">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Top Rank (Scenario: Cash ≥ 0 and Net Burn ≥ 0): These companies are profitable with positive cash. Since they aren't "burning" through a runway, they represent the highest tier despite the "N/A" value.</w:t>
      </w:r>
    </w:p>
    <w:p w14:paraId="045BA90F">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Bottom Rank (Scenario: Cash &lt; 0 and Net Burn &lt; 0): These companies are insolvent and still losing money. They represent the highest risk and should be ranked at the bottom.</w:t>
      </w:r>
    </w:p>
    <w:p w14:paraId="4DB556F1">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Calculated Rank: Companies meeting the XOR condition (exclusively one negative only) will be ranked by their numerical calculation.</w:t>
      </w:r>
    </w:p>
    <w:p w14:paraId="19EB2417">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Sales Efficiency:</w:t>
      </w:r>
    </w:p>
    <w:p w14:paraId="00A6E473">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A company with "N/A" value for Sales Efficiency or S&amp;M Expenses (S&amp;M Expenses + S&amp;M Payroll) less than 5% to the total expenses (Operating Expenses + Other Expenses) will be excluded from the peer group for benchmark of "Sales Efficiency".</w:t>
      </w:r>
    </w:p>
    <w:p w14:paraId="09EFE5E1">
      <w:pPr>
        <w:pStyle w:val="3"/>
        <w:keepNext w:val="0"/>
        <w:keepLines w:val="0"/>
        <w:widowControl/>
        <w:suppressLineNumbers w:val="0"/>
        <w:ind w:left="0" w:leftChars="0" w:firstLine="0" w:firstLineChars="0"/>
        <w:rPr>
          <w:rFonts w:hint="default" w:ascii="Calibri" w:hAnsi="Calibri" w:eastAsia="微软雅黑" w:cs="Calibri"/>
          <w:woUserID w:val="1"/>
        </w:rPr>
      </w:pPr>
      <w:r>
        <w:rPr>
          <w:rFonts w:hint="default" w:ascii="Calibri" w:hAnsi="Calibri" w:eastAsia="微软雅黑" w:cs="Calibri"/>
          <w:woUserID w:val="1"/>
        </w:rPr>
        <w:t>If a target company with "N/A" value for Sales Efficiency or S&amp;M Expenses (S&amp;M Expenses + S&amp;M Payroll) less than 5% to the total expenses (Operating Expenses + Other Expenses) will be treated as No Data Available for "Sales Efficiency".</w:t>
      </w:r>
    </w:p>
    <w:p w14:paraId="38DB9AE6">
      <w:pPr>
        <w:pStyle w:val="3"/>
        <w:keepNext w:val="0"/>
        <w:keepLines w:val="0"/>
        <w:widowControl/>
        <w:suppressLineNumbers w:val="0"/>
        <w:rPr>
          <w:rFonts w:hint="default" w:ascii="Calibri" w:hAnsi="Calibri" w:eastAsia="微软雅黑" w:cs="Calibri"/>
          <w:woUserID w:val="1"/>
        </w:rPr>
      </w:pPr>
      <w:r>
        <w:rPr>
          <w:rStyle w:val="6"/>
          <w:rFonts w:hint="default" w:ascii="Calibri" w:hAnsi="Calibri" w:eastAsia="微软雅黑" w:cs="Calibri"/>
          <w:woUserID w:val="1"/>
        </w:rPr>
        <w:t>Outputs</w:t>
      </w:r>
    </w:p>
    <w:p w14:paraId="6660A017">
      <w:pPr>
        <w:pStyle w:val="3"/>
        <w:keepNext w:val="0"/>
        <w:keepLines w:val="0"/>
        <w:widowControl/>
        <w:suppressLineNumbers w:val="0"/>
        <w:ind w:left="720"/>
        <w:rPr>
          <w:rFonts w:hint="default" w:ascii="Calibri" w:hAnsi="Calibri" w:eastAsia="微软雅黑" w:cs="Calibri"/>
          <w:woUserID w:val="1"/>
        </w:rPr>
      </w:pPr>
      <w:r>
        <w:rPr>
          <w:rFonts w:hint="default" w:ascii="Calibri" w:hAnsi="Calibri" w:eastAsia="微软雅黑" w:cs="Calibri"/>
          <w:woUserID w:val="1"/>
        </w:rPr>
        <w:t>Engine produces:</w:t>
      </w:r>
    </w:p>
    <w:p w14:paraId="7AB7BAB4">
      <w:pPr>
        <w:pStyle w:val="3"/>
        <w:keepNext w:val="0"/>
        <w:keepLines w:val="0"/>
        <w:widowControl/>
        <w:suppressLineNumbers w:val="0"/>
        <w:ind w:left="720"/>
        <w:rPr>
          <w:rFonts w:hint="default" w:ascii="Calibri" w:hAnsi="Calibri" w:eastAsia="微软雅黑" w:cs="Calibri"/>
          <w:woUserID w:val="1"/>
        </w:rPr>
      </w:pPr>
      <w:r>
        <w:rPr>
          <w:rFonts w:hint="default" w:ascii="Calibri" w:hAnsi="Calibri" w:eastAsia="微软雅黑" w:cs="Calibri"/>
          <w:woUserID w:val="1"/>
        </w:rPr>
        <w:t>Percentile rank</w:t>
      </w:r>
    </w:p>
    <w:p w14:paraId="1BAB1DB2">
      <w:pPr>
        <w:pStyle w:val="3"/>
        <w:keepNext w:val="0"/>
        <w:keepLines w:val="0"/>
        <w:widowControl/>
        <w:suppressLineNumbers w:val="0"/>
        <w:ind w:left="720"/>
        <w:rPr>
          <w:rFonts w:hint="default" w:ascii="Calibri" w:hAnsi="Calibri" w:eastAsia="微软雅黑" w:cs="Calibri"/>
          <w:woUserID w:val="1"/>
        </w:rPr>
      </w:pPr>
      <w:r>
        <w:rPr>
          <w:rFonts w:hint="default" w:ascii="Calibri" w:hAnsi="Calibri" w:eastAsia="微软雅黑" w:cs="Calibri"/>
          <w:woUserID w:val="1"/>
        </w:rPr>
        <w:t>Cohort size</w:t>
      </w:r>
    </w:p>
    <w:p w14:paraId="3B65D991">
      <w:pPr>
        <w:pStyle w:val="3"/>
        <w:keepNext w:val="0"/>
        <w:keepLines w:val="0"/>
        <w:widowControl/>
        <w:suppressLineNumbers w:val="0"/>
        <w:ind w:left="720"/>
        <w:rPr>
          <w:rFonts w:hint="default" w:ascii="Calibri" w:hAnsi="Calibri" w:eastAsia="微软雅黑" w:cs="Calibri"/>
          <w:woUserID w:val="1"/>
        </w:rPr>
      </w:pPr>
      <w:r>
        <w:rPr>
          <w:rFonts w:hint="default" w:ascii="Calibri" w:hAnsi="Calibri" w:eastAsia="微软雅黑" w:cs="Calibri"/>
          <w:woUserID w:val="1"/>
        </w:rPr>
        <w:t>Relative grouping (Top Quartile, Bottom Quartile, etc.)</w:t>
      </w:r>
    </w:p>
    <w:p w14:paraId="0A0007C1">
      <w:pPr>
        <w:pStyle w:val="3"/>
        <w:keepNext w:val="0"/>
        <w:keepLines w:val="0"/>
        <w:widowControl/>
        <w:suppressLineNumbers w:val="0"/>
        <w:ind w:left="720"/>
        <w:rPr>
          <w:rFonts w:hint="default" w:ascii="Calibri" w:hAnsi="Calibri" w:eastAsia="微软雅黑" w:cs="Calibri"/>
          <w:woUserID w:val="1"/>
        </w:rPr>
      </w:pPr>
      <w:r>
        <w:rPr>
          <w:rFonts w:hint="default" w:ascii="Calibri" w:hAnsi="Calibri" w:eastAsia="微软雅黑" w:cs="Calibri"/>
          <w:woUserID w:val="1"/>
        </w:rPr>
        <w:t>Ranking results available for consumption by UI and analytics layers</w:t>
      </w:r>
    </w:p>
    <w:p w14:paraId="6D142CD4">
      <w:pPr>
        <w:pStyle w:val="3"/>
        <w:keepNext w:val="0"/>
        <w:keepLines w:val="0"/>
        <w:widowControl/>
        <w:suppressLineNumbers w:val="0"/>
        <w:ind w:left="720"/>
        <w:rPr>
          <w:rFonts w:hint="default" w:ascii="Calibri" w:hAnsi="Calibri" w:eastAsia="微软雅黑" w:cs="Calibri"/>
          <w:woUserID w:val="1"/>
        </w:rPr>
      </w:pPr>
      <w:r>
        <w:rPr>
          <w:rFonts w:hint="default" w:ascii="Calibri" w:hAnsi="Calibri" w:eastAsia="微软雅黑" w:cs="Calibri"/>
          <w:woUserID w:val="1"/>
        </w:rPr>
        <w:t>Percentile calculation methodology is documented and consistent across metrics</w:t>
      </w:r>
    </w:p>
    <w:p w14:paraId="08CA79EE">
      <w:pPr>
        <w:pStyle w:val="3"/>
        <w:keepNext w:val="0"/>
        <w:keepLines w:val="0"/>
        <w:widowControl/>
        <w:suppressLineNumbers w:val="0"/>
        <w:rPr>
          <w:rFonts w:hint="default" w:ascii="Calibri" w:hAnsi="Calibri" w:eastAsia="微软雅黑" w:cs="Calibri"/>
          <w:woUserID w:val="1"/>
        </w:rPr>
      </w:pPr>
      <w:r>
        <w:rPr>
          <w:rStyle w:val="6"/>
          <w:rFonts w:hint="default" w:ascii="Calibri" w:hAnsi="Calibri" w:eastAsia="微软雅黑" w:cs="Calibri"/>
          <w:woUserID w:val="1"/>
        </w:rPr>
        <w:t>Benchmarking Regeneration</w:t>
      </w:r>
    </w:p>
    <w:p w14:paraId="1D086405">
      <w:pPr>
        <w:pStyle w:val="3"/>
        <w:keepNext w:val="0"/>
        <w:keepLines w:val="0"/>
        <w:widowControl/>
        <w:suppressLineNumbers w:val="0"/>
        <w:ind w:left="720"/>
        <w:rPr>
          <w:rFonts w:hint="default" w:ascii="Calibri" w:hAnsi="Calibri" w:eastAsia="微软雅黑" w:cs="Calibri"/>
          <w:woUserID w:val="1"/>
        </w:rPr>
      </w:pPr>
      <w:r>
        <w:rPr>
          <w:rFonts w:hint="default" w:ascii="Calibri" w:hAnsi="Calibri" w:eastAsia="微软雅黑" w:cs="Calibri"/>
          <w:woUserID w:val="1"/>
        </w:rPr>
        <w:t>If a company's peer group changes either manually be an admin or automatically shifts due to a change in the company's default peer group, recalculate the benchmarks</w:t>
      </w:r>
    </w:p>
    <w:p w14:paraId="1C4FC2F2">
      <w:pPr>
        <w:rPr>
          <w:rFonts w:hint="eastAsia"/>
          <w:lang w:eastAsia="zh-CN"/>
        </w:rPr>
      </w:pPr>
    </w:p>
    <w:p w14:paraId="2FD278EA">
      <w:pPr>
        <w:pStyle w:val="2"/>
        <w:bidi w:val="0"/>
        <w:rPr>
          <w:rFonts w:hint="eastAsia"/>
          <w:lang w:eastAsia="zh-CN"/>
        </w:rPr>
      </w:pPr>
      <w:r>
        <w:rPr>
          <w:rFonts w:hint="eastAsia"/>
          <w:lang w:eastAsia="zh-CN"/>
        </w:rPr>
        <w:t>Normalize Forecast Data for Benchmarking</w:t>
      </w:r>
    </w:p>
    <w:p w14:paraId="678DE092">
      <w:pPr>
        <w:rPr>
          <w:rFonts w:hint="eastAsia"/>
          <w:lang w:eastAsia="zh-CN"/>
        </w:rPr>
      </w:pPr>
      <w:r>
        <w:rPr>
          <w:rFonts w:hint="eastAsia"/>
          <w:lang w:eastAsia="zh-CN"/>
        </w:rPr>
        <w:t>Business Requirements</w:t>
      </w:r>
    </w:p>
    <w:p w14:paraId="44E0B72F">
      <w:pPr>
        <w:rPr>
          <w:rFonts w:hint="eastAsia"/>
          <w:lang w:eastAsia="zh-CN"/>
        </w:rPr>
      </w:pPr>
      <w:r>
        <w:rPr>
          <w:rFonts w:hint="eastAsia"/>
          <w:lang w:eastAsia="zh-CN"/>
        </w:rPr>
        <w:t>Looking Glass must extend the existing normalization framework to support forecast data so that forecasted financial performance can be benchmarked.</w:t>
      </w:r>
    </w:p>
    <w:p w14:paraId="738197A5">
      <w:pPr>
        <w:rPr>
          <w:rFonts w:hint="eastAsia"/>
          <w:lang w:eastAsia="zh-CN"/>
        </w:rPr>
      </w:pPr>
    </w:p>
    <w:p w14:paraId="6B75B322">
      <w:pPr>
        <w:rPr>
          <w:rFonts w:hint="eastAsia"/>
          <w:lang w:eastAsia="zh-CN"/>
        </w:rPr>
      </w:pPr>
    </w:p>
    <w:p w14:paraId="7305B4BF">
      <w:pPr>
        <w:rPr>
          <w:rFonts w:hint="eastAsia"/>
          <w:lang w:eastAsia="zh-CN"/>
        </w:rPr>
      </w:pPr>
    </w:p>
    <w:p w14:paraId="193755A9">
      <w:pPr>
        <w:rPr>
          <w:rFonts w:hint="eastAsia"/>
          <w:lang w:eastAsia="zh-CN"/>
        </w:rPr>
      </w:pPr>
      <w:r>
        <w:rPr>
          <w:rFonts w:hint="eastAsia"/>
          <w:lang w:eastAsia="zh-CN"/>
        </w:rPr>
        <w:t>Each dataset must be normalized independently while using the same company-specific normalization ruleset. The normalized forecast outputs will serve as the data source for forecast-based benchmarking views, enabling users to compare projected company performance against historical benchmark distributions.</w:t>
      </w:r>
    </w:p>
    <w:p w14:paraId="3084E0C5">
      <w:pPr>
        <w:rPr>
          <w:rFonts w:hint="eastAsia"/>
          <w:lang w:eastAsia="zh-CN"/>
        </w:rPr>
      </w:pPr>
    </w:p>
    <w:p w14:paraId="61BB8E67">
      <w:pPr>
        <w:rPr>
          <w:rFonts w:hint="eastAsia"/>
          <w:lang w:eastAsia="zh-CN"/>
        </w:rPr>
      </w:pPr>
      <w:r>
        <w:rPr>
          <w:rFonts w:hint="eastAsia"/>
          <w:lang w:eastAsia="zh-CN"/>
        </w:rPr>
        <w:t>The normalization architecture must ensure that forecast normalization:</w:t>
      </w:r>
    </w:p>
    <w:p w14:paraId="39E2AD7D">
      <w:pPr>
        <w:rPr>
          <w:rFonts w:hint="eastAsia"/>
          <w:lang w:eastAsia="zh-CN"/>
        </w:rPr>
      </w:pPr>
      <w:r>
        <w:rPr>
          <w:rFonts w:hint="eastAsia"/>
          <w:lang w:eastAsia="zh-CN"/>
        </w:rPr>
        <w:t>Reuses the existing normalization engine and mapping framework</w:t>
      </w:r>
    </w:p>
    <w:p w14:paraId="57AF7194">
      <w:pPr>
        <w:rPr>
          <w:rFonts w:hint="eastAsia"/>
          <w:lang w:eastAsia="zh-CN"/>
        </w:rPr>
      </w:pPr>
      <w:r>
        <w:rPr>
          <w:rFonts w:hint="eastAsia"/>
          <w:lang w:eastAsia="zh-CN"/>
        </w:rPr>
        <w:t>Maintains versioning and auditability</w:t>
      </w:r>
    </w:p>
    <w:p w14:paraId="57272790">
      <w:pPr>
        <w:rPr>
          <w:rFonts w:hint="eastAsia"/>
          <w:lang w:eastAsia="zh-CN"/>
        </w:rPr>
      </w:pPr>
      <w:r>
        <w:rPr>
          <w:rFonts w:hint="eastAsia"/>
          <w:lang w:eastAsia="zh-CN"/>
        </w:rPr>
        <w:t>Does not overwrite historical normalized data</w:t>
      </w:r>
    </w:p>
    <w:p w14:paraId="4E82716B">
      <w:pPr>
        <w:rPr>
          <w:rFonts w:hint="eastAsia"/>
          <w:lang w:eastAsia="zh-CN"/>
        </w:rPr>
      </w:pPr>
      <w:r>
        <w:rPr>
          <w:rFonts w:hint="eastAsia"/>
          <w:lang w:eastAsia="zh-CN"/>
        </w:rPr>
        <w:t>The system must support re-normalization when:</w:t>
      </w:r>
    </w:p>
    <w:p w14:paraId="3A7D0302">
      <w:pPr>
        <w:rPr>
          <w:rFonts w:hint="eastAsia"/>
          <w:lang w:eastAsia="zh-CN"/>
        </w:rPr>
      </w:pPr>
      <w:r>
        <w:rPr>
          <w:rFonts w:hint="eastAsia"/>
          <w:lang w:eastAsia="zh-CN"/>
        </w:rPr>
        <w:t>A committed forecast is updated</w:t>
      </w:r>
    </w:p>
    <w:p w14:paraId="0E1B023D">
      <w:pPr>
        <w:rPr>
          <w:rFonts w:hint="eastAsia"/>
          <w:lang w:eastAsia="zh-CN"/>
        </w:rPr>
      </w:pPr>
      <w:r>
        <w:rPr>
          <w:rFonts w:hint="eastAsia"/>
          <w:lang w:eastAsia="zh-CN"/>
        </w:rPr>
        <w:t>A system-generated forecast is refreshed</w:t>
      </w:r>
    </w:p>
    <w:p w14:paraId="257F5DB9">
      <w:pPr>
        <w:rPr>
          <w:rFonts w:hint="eastAsia"/>
          <w:lang w:eastAsia="zh-CN"/>
        </w:rPr>
      </w:pPr>
      <w:r>
        <w:rPr>
          <w:rFonts w:hint="eastAsia"/>
          <w:lang w:eastAsia="zh-CN"/>
        </w:rPr>
        <w:t>A company’s normalization ruleset changes</w:t>
      </w:r>
    </w:p>
    <w:p w14:paraId="11953D13">
      <w:pPr>
        <w:rPr>
          <w:rFonts w:hint="eastAsia"/>
          <w:lang w:eastAsia="zh-CN"/>
        </w:rPr>
      </w:pPr>
      <w:r>
        <w:rPr>
          <w:rFonts w:hint="eastAsia"/>
          <w:lang w:eastAsia="zh-CN"/>
        </w:rPr>
        <w:t>The goal is to ensure that forecast benchmarking uses standardized, analysis-ready financial data that is structurally identical to normalized historical data.</w:t>
      </w:r>
    </w:p>
    <w:p w14:paraId="041EDEB0">
      <w:pPr>
        <w:rPr>
          <w:rFonts w:hint="eastAsia"/>
          <w:lang w:eastAsia="zh-CN"/>
        </w:rPr>
      </w:pPr>
    </w:p>
    <w:p w14:paraId="0F14A31E">
      <w:pPr>
        <w:rPr>
          <w:rFonts w:hint="eastAsia"/>
          <w:lang w:eastAsia="zh-CN"/>
        </w:rPr>
      </w:pPr>
      <w:r>
        <w:rPr>
          <w:rFonts w:hint="eastAsia"/>
          <w:lang w:eastAsia="zh-CN"/>
        </w:rPr>
        <w:t>Acceptance Criteria</w:t>
      </w:r>
    </w:p>
    <w:p w14:paraId="016B7A05">
      <w:pPr>
        <w:rPr>
          <w:rFonts w:hint="eastAsia"/>
          <w:lang w:eastAsia="zh-CN"/>
        </w:rPr>
      </w:pPr>
      <w:r>
        <w:rPr>
          <w:rFonts w:hint="eastAsia"/>
          <w:lang w:eastAsia="zh-CN"/>
        </w:rPr>
        <w:t>1. Forecast Data Sources Supported</w:t>
      </w:r>
    </w:p>
    <w:p w14:paraId="71E253AF">
      <w:pPr>
        <w:rPr>
          <w:rFonts w:hint="eastAsia"/>
          <w:lang w:eastAsia="zh-CN"/>
        </w:rPr>
      </w:pPr>
      <w:r>
        <w:rPr>
          <w:rFonts w:hint="eastAsia"/>
          <w:lang w:eastAsia="zh-CN"/>
        </w:rPr>
        <w:t>The normalization engine processes:</w:t>
      </w:r>
    </w:p>
    <w:p w14:paraId="2EFA3DE3">
      <w:pPr>
        <w:rPr>
          <w:rFonts w:hint="eastAsia"/>
          <w:lang w:eastAsia="zh-CN"/>
        </w:rPr>
      </w:pPr>
      <w:r>
        <w:rPr>
          <w:rFonts w:hint="eastAsia"/>
          <w:lang w:eastAsia="zh-CN"/>
        </w:rPr>
        <w:t>Committed Forecast data</w:t>
      </w:r>
    </w:p>
    <w:p w14:paraId="08576652">
      <w:pPr>
        <w:rPr>
          <w:rFonts w:hint="eastAsia"/>
          <w:lang w:eastAsia="zh-CN"/>
        </w:rPr>
      </w:pPr>
      <w:r>
        <w:rPr>
          <w:rFonts w:hint="eastAsia"/>
          <w:lang w:eastAsia="zh-CN"/>
        </w:rPr>
        <w:t>System-Generated Forecast data</w:t>
      </w:r>
    </w:p>
    <w:p w14:paraId="0FBCDA54">
      <w:pPr>
        <w:rPr>
          <w:rFonts w:hint="eastAsia"/>
          <w:lang w:eastAsia="zh-CN"/>
        </w:rPr>
      </w:pPr>
      <w:r>
        <w:rPr>
          <w:rFonts w:hint="eastAsia"/>
          <w:lang w:eastAsia="zh-CN"/>
        </w:rPr>
        <w:t>Both datasets are normalized independently of historical actuals.</w:t>
      </w:r>
    </w:p>
    <w:p w14:paraId="413EA1D3">
      <w:pPr>
        <w:rPr>
          <w:rFonts w:hint="eastAsia"/>
          <w:lang w:eastAsia="zh-CN"/>
        </w:rPr>
      </w:pPr>
      <w:r>
        <w:rPr>
          <w:rFonts w:hint="eastAsia"/>
          <w:lang w:eastAsia="zh-CN"/>
        </w:rPr>
        <w:t>The system shall generate normalization data for the entire forecast dataset. For each fiscal year, the normalization should always be applied to the latest available forecast version, ensuring a complete and continuous data set for benchmarking.</w:t>
      </w:r>
    </w:p>
    <w:p w14:paraId="5E44DF9A">
      <w:pPr>
        <w:rPr>
          <w:rFonts w:hint="eastAsia"/>
          <w:lang w:eastAsia="zh-CN"/>
        </w:rPr>
      </w:pPr>
      <w:r>
        <w:rPr>
          <w:rFonts w:hint="eastAsia"/>
          <w:lang w:eastAsia="zh-CN"/>
        </w:rPr>
        <w:t>2. Reuse of Existing Normalization Engine</w:t>
      </w:r>
    </w:p>
    <w:p w14:paraId="349DE3D5">
      <w:pPr>
        <w:rPr>
          <w:rFonts w:hint="eastAsia"/>
          <w:lang w:eastAsia="zh-CN"/>
        </w:rPr>
      </w:pPr>
      <w:r>
        <w:rPr>
          <w:rFonts w:hint="eastAsia"/>
          <w:lang w:eastAsia="zh-CN"/>
        </w:rPr>
        <w:t>The same rule-based normalization engine used for historical data is used for forecast data.</w:t>
      </w:r>
    </w:p>
    <w:p w14:paraId="2A9B1F3F">
      <w:pPr>
        <w:rPr>
          <w:rFonts w:hint="eastAsia"/>
          <w:lang w:eastAsia="zh-CN"/>
        </w:rPr>
      </w:pPr>
      <w:r>
        <w:rPr>
          <w:rFonts w:hint="eastAsia"/>
          <w:lang w:eastAsia="zh-CN"/>
        </w:rPr>
        <w:t>The active company normalization ruleset is retrieved and applied at runtime.</w:t>
      </w:r>
    </w:p>
    <w:p w14:paraId="0C5DC901">
      <w:pPr>
        <w:rPr>
          <w:rFonts w:hint="eastAsia"/>
          <w:lang w:eastAsia="zh-CN"/>
        </w:rPr>
      </w:pPr>
      <w:r>
        <w:rPr>
          <w:rFonts w:hint="eastAsia"/>
          <w:lang w:eastAsia="zh-CN"/>
        </w:rPr>
        <w:t>No duplicate normalization logic is introduced specifically for forecasts.</w:t>
      </w:r>
    </w:p>
    <w:p w14:paraId="3EFBC081">
      <w:pPr>
        <w:rPr>
          <w:rFonts w:hint="eastAsia"/>
          <w:lang w:eastAsia="zh-CN"/>
        </w:rPr>
      </w:pPr>
      <w:r>
        <w:rPr>
          <w:rFonts w:hint="eastAsia"/>
          <w:lang w:eastAsia="zh-CN"/>
        </w:rPr>
        <w:t>3. Mapping to Normalized Schema</w:t>
      </w:r>
    </w:p>
    <w:p w14:paraId="29E8D3AB">
      <w:pPr>
        <w:rPr>
          <w:rFonts w:hint="eastAsia"/>
          <w:lang w:eastAsia="zh-CN"/>
        </w:rPr>
      </w:pPr>
      <w:r>
        <w:rPr>
          <w:rFonts w:hint="eastAsia"/>
          <w:lang w:eastAsia="zh-CN"/>
        </w:rPr>
        <w:t>Forecast raw financial line items are mapped to normalized base categories (Revenue, COGS) using the existing rule-based mapping logic.</w:t>
      </w:r>
    </w:p>
    <w:p w14:paraId="18D94552">
      <w:pPr>
        <w:rPr>
          <w:rFonts w:hint="eastAsia"/>
          <w:lang w:eastAsia="zh-CN"/>
        </w:rPr>
      </w:pPr>
      <w:r>
        <w:rPr>
          <w:rFonts w:hint="eastAsia"/>
          <w:lang w:eastAsia="zh-CN"/>
        </w:rPr>
        <w:t>Derived normalized categories (e.g., Gross Profit, EBITDA, ARR, etc.) are automatically calculated from mapped forecast data.</w:t>
      </w:r>
    </w:p>
    <w:p w14:paraId="656D92EB">
      <w:pPr>
        <w:rPr>
          <w:rFonts w:hint="eastAsia"/>
          <w:lang w:eastAsia="zh-CN"/>
        </w:rPr>
      </w:pPr>
      <w:r>
        <w:rPr>
          <w:rFonts w:hint="eastAsia"/>
          <w:lang w:eastAsia="zh-CN"/>
        </w:rPr>
        <w:t>Mapping traceability is preserved for forecast records in the same manner as historical records.</w:t>
      </w:r>
    </w:p>
    <w:p w14:paraId="649BD054">
      <w:pPr>
        <w:rPr>
          <w:rFonts w:hint="eastAsia"/>
          <w:lang w:eastAsia="zh-CN"/>
        </w:rPr>
      </w:pPr>
      <w:r>
        <w:rPr>
          <w:rFonts w:hint="eastAsia"/>
          <w:lang w:eastAsia="zh-CN"/>
        </w:rPr>
        <w:t>4. Core Transformations Applied</w:t>
      </w:r>
    </w:p>
    <w:p w14:paraId="4F52CB14">
      <w:pPr>
        <w:rPr>
          <w:rFonts w:hint="eastAsia"/>
          <w:lang w:eastAsia="zh-CN"/>
        </w:rPr>
      </w:pPr>
      <w:r>
        <w:rPr>
          <w:rFonts w:hint="eastAsia"/>
          <w:lang w:eastAsia="zh-CN"/>
        </w:rPr>
        <w:t>The normalization engine applies the same transformations to forecast data as it does to historical data, including:</w:t>
      </w:r>
    </w:p>
    <w:p w14:paraId="13B7C699">
      <w:pPr>
        <w:rPr>
          <w:rFonts w:hint="eastAsia"/>
          <w:lang w:eastAsia="zh-CN"/>
        </w:rPr>
      </w:pPr>
      <w:r>
        <w:rPr>
          <w:rFonts w:hint="eastAsia"/>
          <w:lang w:eastAsia="zh-CN"/>
        </w:rPr>
        <w:t>Currency conversion to USD using stored monthly exchange rates</w:t>
      </w:r>
    </w:p>
    <w:p w14:paraId="56BE41B6">
      <w:pPr>
        <w:rPr>
          <w:rFonts w:hint="eastAsia"/>
          <w:lang w:eastAsia="zh-CN"/>
        </w:rPr>
      </w:pPr>
      <w:r>
        <w:rPr>
          <w:rFonts w:hint="eastAsia"/>
          <w:lang w:eastAsia="zh-CN"/>
        </w:rPr>
        <w:t>Revenue presentation normalization (Last Month, 3-Month Average, TTM)</w:t>
      </w:r>
    </w:p>
    <w:p w14:paraId="0CAFE326">
      <w:pPr>
        <w:rPr>
          <w:rFonts w:hint="eastAsia"/>
          <w:lang w:eastAsia="zh-CN"/>
        </w:rPr>
      </w:pPr>
      <w:r>
        <w:rPr>
          <w:rFonts w:hint="eastAsia"/>
          <w:lang w:eastAsia="zh-CN"/>
        </w:rPr>
        <w:t>Derived metric calculations</w:t>
      </w:r>
    </w:p>
    <w:p w14:paraId="74D0C9E9">
      <w:pPr>
        <w:rPr>
          <w:rFonts w:hint="eastAsia"/>
          <w:lang w:eastAsia="zh-CN"/>
        </w:rPr>
      </w:pPr>
      <w:r>
        <w:rPr>
          <w:rFonts w:hint="eastAsia"/>
          <w:lang w:eastAsia="zh-CN"/>
        </w:rPr>
        <w:t>5. Data Separation</w:t>
      </w:r>
    </w:p>
    <w:p w14:paraId="55EC47ED">
      <w:pPr>
        <w:rPr>
          <w:rFonts w:hint="eastAsia"/>
          <w:lang w:eastAsia="zh-CN"/>
        </w:rPr>
      </w:pPr>
      <w:r>
        <w:rPr>
          <w:rFonts w:hint="eastAsia"/>
          <w:lang w:eastAsia="zh-CN"/>
        </w:rPr>
        <w:t>Historical normalized outputs remain unchanged.</w:t>
      </w:r>
    </w:p>
    <w:p w14:paraId="12F12461">
      <w:pPr>
        <w:rPr>
          <w:rFonts w:hint="eastAsia"/>
          <w:lang w:eastAsia="zh-CN"/>
        </w:rPr>
      </w:pPr>
      <w:r>
        <w:rPr>
          <w:rFonts w:hint="eastAsia"/>
          <w:lang w:eastAsia="zh-CN"/>
        </w:rPr>
        <w:t>Forecast normalization does not overwrite or modify normalized historical actuals.</w:t>
      </w:r>
    </w:p>
    <w:p w14:paraId="0A9B125E">
      <w:pPr>
        <w:rPr>
          <w:rFonts w:hint="eastAsia"/>
          <w:lang w:eastAsia="zh-CN"/>
        </w:rPr>
      </w:pPr>
      <w:r>
        <w:rPr>
          <w:rFonts w:hint="eastAsia"/>
          <w:lang w:eastAsia="zh-CN"/>
        </w:rPr>
        <w:t>6. Versioning &amp; Auditability</w:t>
      </w:r>
    </w:p>
    <w:p w14:paraId="6DD9A52D">
      <w:pPr>
        <w:rPr>
          <w:rFonts w:hint="eastAsia"/>
          <w:lang w:eastAsia="zh-CN"/>
        </w:rPr>
      </w:pPr>
      <w:r>
        <w:rPr>
          <w:rFonts w:hint="eastAsia"/>
          <w:lang w:eastAsia="zh-CN"/>
        </w:rPr>
        <w:t>Each forecast normalization run generates a unique normalization version.</w:t>
      </w:r>
    </w:p>
    <w:p w14:paraId="44DB13F9">
      <w:pPr>
        <w:rPr>
          <w:rFonts w:hint="eastAsia"/>
          <w:lang w:eastAsia="zh-CN"/>
        </w:rPr>
      </w:pPr>
      <w:r>
        <w:rPr>
          <w:rFonts w:hint="eastAsia"/>
          <w:lang w:eastAsia="zh-CN"/>
        </w:rPr>
        <w:t>Normalization versions identify:</w:t>
      </w:r>
    </w:p>
    <w:p w14:paraId="0E8A9CA5">
      <w:pPr>
        <w:rPr>
          <w:rFonts w:hint="eastAsia"/>
          <w:lang w:eastAsia="zh-CN"/>
        </w:rPr>
      </w:pPr>
      <w:r>
        <w:rPr>
          <w:rFonts w:hint="eastAsia"/>
          <w:lang w:eastAsia="zh-CN"/>
        </w:rPr>
        <w:t>Company</w:t>
      </w:r>
    </w:p>
    <w:p w14:paraId="1EB57F7F">
      <w:pPr>
        <w:rPr>
          <w:rFonts w:hint="eastAsia"/>
          <w:lang w:eastAsia="zh-CN"/>
        </w:rPr>
      </w:pPr>
      <w:r>
        <w:rPr>
          <w:rFonts w:hint="eastAsia"/>
          <w:lang w:eastAsia="zh-CN"/>
        </w:rPr>
        <w:t>Forecast type (Committed or System-Generated)</w:t>
      </w:r>
    </w:p>
    <w:p w14:paraId="4537D67E">
      <w:pPr>
        <w:rPr>
          <w:rFonts w:hint="eastAsia"/>
          <w:lang w:eastAsia="zh-CN"/>
        </w:rPr>
      </w:pPr>
      <w:r>
        <w:rPr>
          <w:rFonts w:hint="eastAsia"/>
          <w:lang w:eastAsia="zh-CN"/>
        </w:rPr>
        <w:t>Ruleset version used</w:t>
      </w:r>
    </w:p>
    <w:p w14:paraId="44FEF528">
      <w:pPr>
        <w:rPr>
          <w:rFonts w:hint="eastAsia"/>
          <w:lang w:eastAsia="zh-CN"/>
        </w:rPr>
      </w:pPr>
      <w:r>
        <w:rPr>
          <w:rFonts w:hint="eastAsia"/>
          <w:lang w:eastAsia="zh-CN"/>
        </w:rPr>
        <w:t>7. Reprocessing Triggers</w:t>
      </w:r>
    </w:p>
    <w:p w14:paraId="013F6E2C">
      <w:pPr>
        <w:rPr>
          <w:rFonts w:hint="eastAsia"/>
          <w:lang w:eastAsia="zh-CN"/>
        </w:rPr>
      </w:pPr>
      <w:r>
        <w:rPr>
          <w:rFonts w:hint="eastAsia"/>
          <w:lang w:eastAsia="zh-CN"/>
        </w:rPr>
        <w:t>The system supports re-running forecast normalization when (However, a new normalization version will only be generated when data changes occur.):</w:t>
      </w:r>
    </w:p>
    <w:p w14:paraId="3F3B8B24">
      <w:pPr>
        <w:rPr>
          <w:rFonts w:hint="eastAsia"/>
          <w:lang w:eastAsia="zh-CN"/>
        </w:rPr>
      </w:pPr>
      <w:r>
        <w:rPr>
          <w:rFonts w:hint="eastAsia"/>
          <w:lang w:eastAsia="zh-CN"/>
        </w:rPr>
        <w:t>A committed forecast is edited or accepted</w:t>
      </w:r>
    </w:p>
    <w:p w14:paraId="6C2BD3BD">
      <w:pPr>
        <w:rPr>
          <w:rFonts w:hint="eastAsia"/>
          <w:lang w:eastAsia="zh-CN"/>
        </w:rPr>
      </w:pPr>
      <w:r>
        <w:rPr>
          <w:rFonts w:hint="eastAsia"/>
          <w:lang w:eastAsia="zh-CN"/>
        </w:rPr>
        <w:t>A system-generated forecast is refreshed</w:t>
      </w:r>
    </w:p>
    <w:p w14:paraId="4C04C673">
      <w:pPr>
        <w:rPr>
          <w:rFonts w:hint="eastAsia"/>
          <w:lang w:eastAsia="zh-CN"/>
        </w:rPr>
      </w:pPr>
      <w:r>
        <w:rPr>
          <w:rFonts w:hint="eastAsia"/>
          <w:lang w:eastAsia="zh-CN"/>
        </w:rPr>
        <w:t>The company’s normalization ruleset changes</w:t>
      </w:r>
    </w:p>
    <w:p w14:paraId="0E6B6A80">
      <w:pPr>
        <w:rPr>
          <w:rFonts w:hint="eastAsia"/>
          <w:lang w:eastAsia="zh-CN"/>
        </w:rPr>
      </w:pPr>
      <w:r>
        <w:rPr>
          <w:rFonts w:hint="eastAsia"/>
          <w:lang w:eastAsia="zh-CN"/>
        </w:rPr>
        <w:t>New normalization runs use the updated configuration while preserving prior versions.</w:t>
      </w:r>
    </w:p>
    <w:p w14:paraId="003648D0">
      <w:pPr>
        <w:rPr>
          <w:rFonts w:hint="eastAsia"/>
          <w:lang w:eastAsia="zh-CN"/>
        </w:rPr>
      </w:pPr>
      <w:r>
        <w:rPr>
          <w:rFonts w:hint="eastAsia"/>
          <w:lang w:eastAsia="zh-CN"/>
        </w:rPr>
        <w:t>8. Benchmarking Readiness</w:t>
      </w:r>
    </w:p>
    <w:p w14:paraId="4DC34F63">
      <w:pPr>
        <w:rPr>
          <w:rFonts w:hint="eastAsia"/>
          <w:lang w:eastAsia="zh-CN"/>
        </w:rPr>
      </w:pPr>
      <w:r>
        <w:rPr>
          <w:rFonts w:hint="eastAsia"/>
          <w:lang w:eastAsia="zh-CN"/>
        </w:rPr>
        <w:t>Normalized forecast metrics are persisted in normalized tables.</w:t>
      </w:r>
    </w:p>
    <w:p w14:paraId="61013125">
      <w:pPr>
        <w:rPr>
          <w:rFonts w:hint="eastAsia"/>
          <w:lang w:eastAsia="zh-CN"/>
        </w:rPr>
      </w:pPr>
      <w:r>
        <w:rPr>
          <w:rFonts w:hint="eastAsia"/>
          <w:lang w:eastAsia="zh-CN"/>
        </w:rPr>
        <w:t>These normalized forecast metrics are eligible for use in benchmarking calculations.</w:t>
      </w:r>
    </w:p>
    <w:p w14:paraId="33FCB718">
      <w:pPr>
        <w:rPr>
          <w:rFonts w:hint="eastAsia"/>
          <w:lang w:eastAsia="zh-CN"/>
        </w:rPr>
      </w:pPr>
      <w:r>
        <w:rPr>
          <w:rFonts w:hint="eastAsia"/>
          <w:lang w:eastAsia="zh-CN"/>
        </w:rPr>
        <w:t>Forecast benchmarking uses the same metric definitions and formulas as historical benchmarking.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思源黑体 CN">
    <w:panose1 w:val="020B0500000000000000"/>
    <w:charset w:val="86"/>
    <w:family w:val="auto"/>
    <w:pitch w:val="default"/>
    <w:sig w:usb0="20000083" w:usb1="2ADF3C10" w:usb2="00000016" w:usb3="00000000" w:csb0="60060107" w:csb1="00000000"/>
  </w:font>
  <w:font w:name="微软雅黑">
    <w:altName w:val="汉仪旗黑KW 55S"/>
    <w:panose1 w:val="00000000000000000000"/>
    <w:charset w:val="00"/>
    <w:family w:val="auto"/>
    <w:pitch w:val="default"/>
    <w:sig w:usb0="00000000" w:usb1="00000000" w:usb2="00000000" w:usb3="00000000" w:csb0="00000000" w:csb1="00000000"/>
  </w:font>
  <w:font w:name="汉仪旗黑KW 55S">
    <w:panose1 w:val="00020600040101010101"/>
    <w:charset w:val="86"/>
    <w:family w:val="auto"/>
    <w:pitch w:val="default"/>
    <w:sig w:usb0="A00002BF" w:usb1="3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C750D4"/>
    <w:rsid w:val="65744368"/>
    <w:rsid w:val="7FFFF1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0</Words>
  <Characters>0</Characters>
  <Lines>0</Lines>
  <Paragraphs>0</Paragraphs>
  <TotalTime>7</TotalTime>
  <ScaleCrop>false</ScaleCrop>
  <LinksUpToDate>false</LinksUpToDate>
  <CharactersWithSpaces>0</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2026-03-23T15:54:00Z</dcterms:created>
  <dc:creator>1111</dc:creator>
  <cp:lastModifiedBy>Ann</cp:lastModifiedBy>
  <dcterms:modified xsi:type="dcterms:W3CDTF">2026-03-24T09:23:29Z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eyJoZGlkIjoiZGNhNzY1NzZkN2ZhYmQ2MjFlODU2YjNhNTc0MmVlNWIiLCJ1c2VySWQiOiIxNTQ5ODk4OTk4In0=</vt:lpwstr>
  </property>
  <property fmtid="{D5CDD505-2E9C-101B-9397-08002B2CF9AE}" pid="4" name="ICV">
    <vt:lpwstr>3042A3EF6817576591E7C1694898D506_43</vt:lpwstr>
  </property>
</Properties>
</file>