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FDCAA">
      <w:pPr>
        <w:pStyle w:val="2"/>
        <w:bidi w:val="0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Benchmark功能UI和数据说明</w:t>
      </w:r>
    </w:p>
    <w:p w14:paraId="4DE66CF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本文档是基于Looking Glass（简称LG）现有系统数据和UI设计要求给出的一些数据取值需求和UI界面解释。</w:t>
      </w:r>
    </w:p>
    <w:p w14:paraId="07667F6F">
      <w:pPr>
        <w:numPr>
          <w:ilvl w:val="0"/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一：</w:t>
      </w:r>
      <w:r>
        <w:rPr>
          <w:rFonts w:hint="eastAsia" w:ascii="微软雅黑" w:hAnsi="微软雅黑" w:eastAsia="微软雅黑" w:cs="微软雅黑"/>
          <w:b/>
          <w:bCs/>
        </w:rPr>
        <w:t>数据取值：</w:t>
      </w:r>
      <w:r>
        <w:rPr>
          <w:rFonts w:hint="eastAsia" w:ascii="微软雅黑" w:hAnsi="微软雅黑" w:eastAsia="微软雅黑" w:cs="微软雅黑"/>
        </w:rPr>
        <w:t>该功能并非全新设计开发，数据取值</w:t>
      </w:r>
      <w:r>
        <w:rPr>
          <w:rFonts w:hint="eastAsia" w:ascii="微软雅黑" w:hAnsi="微软雅黑" w:eastAsia="微软雅黑" w:cs="微软雅黑"/>
          <w:lang w:val="en-US" w:eastAsia="zh-CN"/>
        </w:rPr>
        <w:t>于</w:t>
      </w:r>
      <w:r>
        <w:rPr>
          <w:rFonts w:hint="eastAsia" w:ascii="微软雅黑" w:hAnsi="微软雅黑" w:eastAsia="微软雅黑" w:cs="微软雅黑"/>
        </w:rPr>
        <w:t>LG系统Normalization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Tracing</w:t>
      </w:r>
      <w:r>
        <w:rPr>
          <w:rFonts w:hint="eastAsia" w:ascii="微软雅黑" w:hAnsi="微软雅黑" w:eastAsia="微软雅黑" w:cs="微软雅黑"/>
        </w:rPr>
        <w:t>最新版本数据</w:t>
      </w:r>
      <w:r>
        <w:rPr>
          <w:rFonts w:hint="eastAsia" w:ascii="微软雅黑" w:hAnsi="微软雅黑" w:eastAsia="微软雅黑" w:cs="微软雅黑"/>
          <w:lang w:val="en-US" w:eastAsia="zh-CN"/>
        </w:rPr>
        <w:t>和LG系统中Benchmark Entry中输入的数据</w:t>
      </w:r>
    </w:p>
    <w:p w14:paraId="3D23BAFA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二：Benchmarking模块展示页UI各部分解释：</w:t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1. Benchmarking tab</w:t>
      </w:r>
      <w:r>
        <w:rPr>
          <w:rFonts w:hint="eastAsia" w:ascii="微软雅黑" w:hAnsi="微软雅黑" w:eastAsia="微软雅黑" w:cs="微软雅黑"/>
          <w:lang w:val="en-US" w:eastAsia="zh-CN"/>
        </w:rPr>
        <w:t>位于Finance模块下，并列于Overview、Financial Statements、Performance tabs。</w:t>
      </w:r>
    </w:p>
    <w:p w14:paraId="5C6D1D2C">
      <w:pPr>
        <w:numPr>
          <w:ilvl w:val="0"/>
          <w:numId w:val="1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Benchmarking标题下文字说明：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Benchmark values are normalized for comparability. Industry calculations may differ from Looking Glass metrics. Use for directional context only.</w:t>
      </w:r>
    </w:p>
    <w:p w14:paraId="1D9E2769">
      <w:pPr>
        <w:numPr>
          <w:ilvl w:val="0"/>
          <w:numId w:val="1"/>
        </w:numPr>
        <w:rPr>
          <w:rFonts w:hint="default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筛选条件card：</w:t>
      </w:r>
    </w:p>
    <w:p w14:paraId="5412CE2A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VIEW: </w:t>
      </w:r>
      <w:r>
        <w:rPr>
          <w:rFonts w:hint="eastAsia" w:ascii="微软雅黑" w:hAnsi="微软雅黑" w:eastAsia="微软雅黑" w:cs="微软雅黑"/>
          <w:lang w:val="en-US" w:eastAsia="zh-CN"/>
        </w:rPr>
        <w:t>Snapshot, Trend。 选中时蓝色点亮，仅支持单选</w:t>
      </w:r>
    </w:p>
    <w:p w14:paraId="3890E649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FILTER: </w:t>
      </w:r>
      <w:r>
        <w:rPr>
          <w:rFonts w:hint="eastAsia" w:ascii="微软雅黑" w:hAnsi="微软雅黑" w:eastAsia="微软雅黑" w:cs="微软雅黑"/>
          <w:lang w:val="en-US" w:eastAsia="zh-CN"/>
        </w:rPr>
        <w:t>ALL, GROWTH, EFFICIENCY, MARGINS, CAPITAL。选中时蓝色点亮，ALL不可与其他选项同时选中，除ALL以外，其他选项可以多选。</w:t>
      </w:r>
    </w:p>
    <w:p w14:paraId="7246AFC1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DATA: </w:t>
      </w:r>
      <w:r>
        <w:rPr>
          <w:rFonts w:hint="eastAsia" w:ascii="微软雅黑" w:hAnsi="微软雅黑" w:eastAsia="微软雅黑" w:cs="微软雅黑"/>
          <w:lang w:val="en-US" w:eastAsia="zh-CN"/>
        </w:rPr>
        <w:t>Actuals，Committed Forecast, System Generated Forecast。选中时黄色点亮，支持多选。</w:t>
      </w:r>
    </w:p>
    <w:p w14:paraId="03192D8D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BENCHMARK（该筛选为数据来源筛选）: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Internal Peers（LG同行计算得出的百分位）, KeyBanc（Benchmark Entry中输入的该第三方平台数据）, High Alpha（Benchmark Entry中输入的该第三方平台数据）, Benchmark.it（Benchmark Entry中输入的该第三方平台数据）。选中时黄色点亮，支持多选。</w:t>
      </w:r>
    </w:p>
    <w:p w14:paraId="365AF2C8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</w:p>
    <w:p w14:paraId="0A3AF86A">
      <w:pPr>
        <w:numPr>
          <w:ilvl w:val="0"/>
          <w:numId w:val="1"/>
        </w:numPr>
        <w:ind w:left="0" w:leftChars="0" w:firstLine="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此公司无同行需要用平台级别时加提示：</w:t>
      </w:r>
      <w:r>
        <w:rPr>
          <w:rFonts w:hint="default" w:ascii="微软雅黑" w:hAnsi="微软雅黑" w:eastAsia="微软雅黑" w:cs="微软雅黑"/>
          <w:lang w:val="en-US" w:eastAsia="zh-CN"/>
        </w:rPr>
        <w:t>Peer Fallback: No direct peer group found for this company. Benchmarking against all active companies in Looking Glass.</w:t>
      </w:r>
    </w:p>
    <w:p w14:paraId="7AD1EF10">
      <w:pPr>
        <w:numPr>
          <w:ilvl w:val="0"/>
          <w:numId w:val="1"/>
        </w:numPr>
        <w:ind w:left="0" w:leftChars="0" w:firstLine="0" w:firstLine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日历：</w:t>
      </w:r>
      <w:r>
        <w:rPr>
          <w:rFonts w:hint="eastAsia" w:ascii="微软雅黑" w:hAnsi="微软雅黑" w:eastAsia="微软雅黑" w:cs="微软雅黑"/>
          <w:lang w:val="en-US" w:eastAsia="zh-CN"/>
        </w:rPr>
        <w:t>默认为最后一个有Actual数据的月份，若公司为新建公司，则默认为当前日历月。</w:t>
      </w:r>
    </w:p>
    <w:p w14:paraId="1A66EA1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 w:eastAsia="zh-CN"/>
        </w:rPr>
        <w:t xml:space="preserve">三、Overall Benchmark Score card: </w:t>
      </w: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百分位：</w:t>
      </w:r>
      <w:r>
        <w:rPr>
          <w:rFonts w:hint="eastAsia" w:ascii="微软雅黑" w:hAnsi="微软雅黑" w:eastAsia="微软雅黑" w:cs="微软雅黑"/>
          <w:lang w:val="en-US" w:eastAsia="zh-CN"/>
        </w:rPr>
        <w:t>51%ile</w:t>
      </w:r>
      <w:r>
        <w:drawing>
          <wp:inline distT="0" distB="0" distL="114300" distR="114300">
            <wp:extent cx="889635" cy="3314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3112" b="10769"/>
                    <a:stretch>
                      <a:fillRect/>
                    </a:stretch>
                  </pic:blipFill>
                  <pic:spPr>
                    <a:xfrm>
                      <a:off x="0" y="0"/>
                      <a:ext cx="889635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t>该数值是下面所有指标百分位的算术平均值，表示方法应与图片中示意相同。</w:t>
      </w:r>
    </w:p>
    <w:p w14:paraId="46F7BE3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Bar: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该进度条颜色进度与百分位一致。设百分位为n，0≤n＜25时，进度条颜色为红色；25≤n＜50时，进度条颜色为粉色；50≤n＜75时，进度条颜色为黄色；75≤n≤100时，进度条颜色为绿色。</w:t>
      </w:r>
    </w:p>
    <w:p w14:paraId="532B4D4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进度条上的点位：</w:t>
      </w:r>
      <w:r>
        <w:rPr>
          <w:rFonts w:hint="eastAsia" w:ascii="微软雅黑" w:hAnsi="微软雅黑" w:eastAsia="微软雅黑" w:cs="微软雅黑"/>
          <w:lang w:val="en-US" w:eastAsia="zh-CN"/>
        </w:rPr>
        <w:t>这些点位是下面所有指标百分位的点位示意。鼠标悬停会有tooltip展示点位详情，第一行展示筛选条件DATA-BENCHMARK，第二行展示数值Percentile。若点位完全重合，则tooltip打包展示所有重合点位信息。</w:t>
      </w:r>
    </w:p>
    <w:p w14:paraId="7C8D155E">
      <w:pPr>
        <w:numPr>
          <w:ilvl w:val="0"/>
          <w:numId w:val="0"/>
        </w:numPr>
        <w:ind w:leftChars="0"/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进度条右上方信息提示规则：</w:t>
      </w:r>
      <w:r>
        <w:drawing>
          <wp:inline distT="0" distB="0" distL="114300" distR="114300">
            <wp:extent cx="3419475" cy="333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0D6D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指标个数-T</w:t>
      </w:r>
      <w:r>
        <w:rPr>
          <w:rFonts w:hint="eastAsia" w:ascii="微软雅黑" w:hAnsi="微软雅黑" w:eastAsia="微软雅黑" w:cs="微软雅黑"/>
        </w:rPr>
        <w:t>op Quartile</w:t>
      </w:r>
      <w:r>
        <w:rPr>
          <w:rFonts w:hint="eastAsia" w:ascii="微软雅黑" w:hAnsi="微软雅黑" w:eastAsia="微软雅黑" w:cs="微软雅黑"/>
          <w:lang w:val="en-US" w:eastAsia="zh-CN"/>
        </w:rPr>
        <w:t>或</w:t>
      </w:r>
    </w:p>
    <w:p w14:paraId="3F2F61E4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指标个数-</w:t>
      </w:r>
      <w:r>
        <w:rPr>
          <w:rFonts w:hint="eastAsia" w:ascii="微软雅黑" w:hAnsi="微软雅黑" w:eastAsia="微软雅黑" w:cs="微软雅黑"/>
        </w:rPr>
        <w:t>Upper Middle Quartile</w:t>
      </w:r>
      <w:r>
        <w:rPr>
          <w:rFonts w:hint="eastAsia" w:ascii="微软雅黑" w:hAnsi="微软雅黑" w:eastAsia="微软雅黑" w:cs="微软雅黑"/>
          <w:lang w:val="en-US" w:eastAsia="zh-CN"/>
        </w:rPr>
        <w:t>或</w:t>
      </w:r>
    </w:p>
    <w:p w14:paraId="7AC055F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指标个数-</w:t>
      </w:r>
      <w:r>
        <w:rPr>
          <w:rFonts w:hint="eastAsia" w:ascii="微软雅黑" w:hAnsi="微软雅黑" w:eastAsia="微软雅黑" w:cs="微软雅黑"/>
        </w:rPr>
        <w:t>Lower Middle Quartile</w:t>
      </w:r>
      <w:r>
        <w:rPr>
          <w:rFonts w:hint="eastAsia" w:ascii="微软雅黑" w:hAnsi="微软雅黑" w:eastAsia="微软雅黑" w:cs="微软雅黑"/>
          <w:lang w:val="en-US" w:eastAsia="zh-CN"/>
        </w:rPr>
        <w:t>或</w:t>
      </w:r>
    </w:p>
    <w:p w14:paraId="570DB55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指标个数-</w:t>
      </w:r>
      <w:r>
        <w:rPr>
          <w:rFonts w:hint="eastAsia" w:ascii="微软雅黑" w:hAnsi="微软雅黑" w:eastAsia="微软雅黑" w:cs="微软雅黑"/>
        </w:rPr>
        <w:t>Bottom Quartile</w:t>
      </w:r>
    </w:p>
    <w:p w14:paraId="7010E07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如果下方计算中用到了特殊情况计算，则要显示提示Includes estimated percentiles (interpolated values used/boundary values used）</w:t>
      </w:r>
      <w:bookmarkStart w:id="0" w:name="_GoBack"/>
      <w:bookmarkEnd w:id="0"/>
    </w:p>
    <w:p w14:paraId="5E0D2840">
      <w:pPr>
        <w:numPr>
          <w:ilvl w:val="0"/>
          <w:numId w:val="2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各指标板块card（Snapshot）:</w:t>
      </w:r>
    </w:p>
    <w:p w14:paraId="1E504FCE">
      <w:pPr>
        <w:numPr>
          <w:ilvl w:val="0"/>
          <w:numId w:val="3"/>
        </w:numP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四个板块为固定板块：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Revenue &amp; Growth，Profitability &amp; Efficiency， Burn &amp; Runway，Capital Efficiency。</w:t>
      </w:r>
    </w:p>
    <w:p w14:paraId="4719E827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板块百分位：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是下面各选中指标百分位的算数平均值，筛选条件改变时该百分位也会改变。</w:t>
      </w:r>
      <w:r>
        <w:rPr>
          <w:rFonts w:hint="eastAsia" w:ascii="微软雅黑" w:hAnsi="微软雅黑" w:eastAsia="微软雅黑" w:cs="微软雅黑"/>
          <w:lang w:val="en-US" w:eastAsia="zh-CN"/>
        </w:rPr>
        <w:t>该进度条颜色进度与百分位一致。设百分位为n，0≤n＜25时，进度条颜色为红色；25≤n＜50时，进度条颜色为粉色；50≤n＜75时，进度条颜色为黄色；75≤n≤100时，进度条颜色为绿色。</w:t>
      </w:r>
    </w:p>
    <w:p w14:paraId="05FCDCCB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进度条上的点位：</w:t>
      </w:r>
      <w:r>
        <w:rPr>
          <w:rFonts w:hint="eastAsia" w:ascii="微软雅黑" w:hAnsi="微软雅黑" w:eastAsia="微软雅黑" w:cs="微软雅黑"/>
          <w:lang w:val="en-US" w:eastAsia="zh-CN"/>
        </w:rPr>
        <w:t>进度条上这些点位是下面所有指标百分位的点位示意。</w:t>
      </w:r>
    </w:p>
    <w:p w14:paraId="103F5414">
      <w:pPr>
        <w:numPr>
          <w:ilvl w:val="0"/>
          <w:numId w:val="3"/>
        </w:numPr>
        <w:rPr>
          <w:rFonts w:hint="default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各版块包含指标：</w:t>
      </w:r>
    </w:p>
    <w:p w14:paraId="4A80422C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Revenue &amp; Growth：ARR Growth Rate</w:t>
      </w:r>
    </w:p>
    <w:p w14:paraId="50BF8348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Profitability &amp; Efficiency：Gross Margin</w:t>
      </w:r>
    </w:p>
    <w:p w14:paraId="1364CD02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Burn &amp; Runway：Monthly Net Burn Rate, Monthly Runaway</w:t>
      </w:r>
    </w:p>
    <w:p w14:paraId="63BF33EB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Capital Efficiency：Rule of 40, Sales Efficiency Ratio</w:t>
      </w:r>
    </w:p>
    <w:p w14:paraId="3450569B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该板块进度条展示数量取决于上方筛选框选择组合，最多会显示12条进度条：</w:t>
      </w: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Actuals - Internal Peers（Actual数据在Internal Peer中的百分位排名）</w:t>
      </w:r>
    </w:p>
    <w:p w14:paraId="03A3EA5E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  <w:t>System Generated Forecast - Internal Peers</w:t>
      </w:r>
    </w:p>
    <w:p w14:paraId="0BF6C00A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  <w:t>Actuals - KeyBanc</w:t>
      </w:r>
    </w:p>
    <w:p w14:paraId="7EFF238B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  <w:t>Committed Forecast - KeyBanc</w:t>
      </w:r>
    </w:p>
    <w:p w14:paraId="1B809A57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  <w:t>System Generated Forecast - KeyBanc</w:t>
      </w:r>
    </w:p>
    <w:p w14:paraId="1A017787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  <w:t>Actuals - High Alpha</w:t>
      </w:r>
    </w:p>
    <w:p w14:paraId="6FD28418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  <w:t>Committed Forecast - High Alpha</w:t>
      </w:r>
    </w:p>
    <w:p w14:paraId="3F654463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  <w:t>System Generated Forecast - High Alpha</w:t>
      </w:r>
    </w:p>
    <w:p w14:paraId="369AC20D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  <w:t>Actuals - High Alpha</w:t>
      </w:r>
    </w:p>
    <w:p w14:paraId="57CE087E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  <w:t>Committed Forecast - Benchmark.it</w:t>
      </w:r>
    </w:p>
    <w:p w14:paraId="5F233443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  <w:t>System Generated Forecast - Benchmark.it</w:t>
      </w:r>
    </w:p>
    <w:p w14:paraId="72CB49C5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  <w:t>Committed Forecast -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 xml:space="preserve"> Internal Peers</w:t>
      </w:r>
    </w:p>
    <w:p w14:paraId="19111B22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数据取值：</w:t>
      </w:r>
    </w:p>
    <w:p w14:paraId="1355C14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精确百分位：若条件允许，则计算并显示精确的百分位数值（例如 P45）。</w:t>
      </w:r>
    </w:p>
    <w:p w14:paraId="30755C8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否则，若指标数值落在基准范围内，则通过线性插值法估算并显示百分位数值（例如 ~P64）。同时，在整体摘要中附注提示信息：“包含估算百分位（使用了插值/边界值）”。</w:t>
      </w:r>
    </w:p>
    <w:p w14:paraId="1561BC1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超范围处理：若指标数值超出基准范围，则使用“＞”或“＜”符号表示（例如 ＞P75 或 ＜P25）。在进行任何摘要计算时，均采用相应的边界值；同时在整体摘要中附注提示信息：“包含估算百分位（使用了边界值）”。若报告仅提供中位数（P50），则在进行摘要计算时，按以下规则取值：</w:t>
      </w:r>
    </w:p>
    <w:p w14:paraId="3F22E810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高于中位数 = 75。</w:t>
      </w:r>
    </w:p>
    <w:p w14:paraId="69F0B62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低于中位数 = 25。</w:t>
      </w:r>
    </w:p>
    <w:p w14:paraId="00DDA7E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等于中位数 = 50。</w:t>
      </w:r>
    </w:p>
    <w:p w14:paraId="12F5083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分布条：采用颜色编码的水平条形图。</w:t>
      </w:r>
    </w:p>
    <w:p w14:paraId="1E1634A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正向指标：数值越高，百分位排名越高。</w:t>
      </w:r>
    </w:p>
    <w:p w14:paraId="6BAE322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反向指标：特指“月度净现金消耗率”（Monthly Net Burn Rate）这类指标——数值越低，百分位排名越高。</w:t>
      </w:r>
    </w:p>
    <w:p w14:paraId="5B1B39F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该进度条颜色进度与百分位一致。设百分位为n，0≤n＜25时，进度条颜色为红色；25≤n＜50时，进度条颜色为粉色；50≤n＜75时，进度条颜色为黄色；75≤n≤100时，进度条颜色为绿色。</w:t>
      </w:r>
    </w:p>
    <w:p w14:paraId="7095D3A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进度条上的点位：</w:t>
      </w:r>
      <w:r>
        <w:rPr>
          <w:rFonts w:hint="eastAsia" w:ascii="微软雅黑" w:hAnsi="微软雅黑" w:eastAsia="微软雅黑" w:cs="微软雅黑"/>
          <w:lang w:val="en-US" w:eastAsia="zh-CN"/>
        </w:rPr>
        <w:t>进度条上这些点位是指标百分位的点位示意。</w:t>
      </w:r>
    </w:p>
    <w:p w14:paraId="7D1DA8E3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各板块可展开可收起，指标无数据时显示灰色空白进度条，板块无数据时展示N/A。</w:t>
      </w:r>
    </w:p>
    <w:p w14:paraId="46D013A8">
      <w:pPr>
        <w:numPr>
          <w:ilvl w:val="0"/>
          <w:numId w:val="2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各指标板块card（Trend）:</w:t>
      </w:r>
    </w:p>
    <w:p w14:paraId="518C400D">
      <w:pPr>
        <w:numPr>
          <w:ilvl w:val="0"/>
          <w:numId w:val="4"/>
        </w:numPr>
        <w:rPr>
          <w:rFonts w:hint="default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四个板块为固定板块：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Revenue &amp; Growth，Profitability &amp; Efficiency， Burn &amp; Runway，Capital Efficiency。</w:t>
      </w:r>
    </w:p>
    <w:p w14:paraId="4514F4BB">
      <w:pPr>
        <w:numPr>
          <w:ilvl w:val="0"/>
          <w:numId w:val="4"/>
        </w:numPr>
        <w:rPr>
          <w:rFonts w:hint="default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各版块包含指标：</w:t>
      </w:r>
    </w:p>
    <w:p w14:paraId="76EB1DAD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Revenue &amp; Growth：ARR Growth Rate</w:t>
      </w:r>
    </w:p>
    <w:p w14:paraId="5B737641"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Profitability &amp; Efficiency：Gross Margin</w:t>
      </w:r>
    </w:p>
    <w:p w14:paraId="272D1962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Burn &amp; Runway：Monthly Net Burn Rate, Monthly Runaway</w:t>
      </w:r>
    </w:p>
    <w:p w14:paraId="06BB9595">
      <w:pPr>
        <w:numPr>
          <w:ilvl w:val="0"/>
          <w:numId w:val="0"/>
        </w:numPr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Capital Efficiency：Rule of 40, Sales Efficiency Ratio</w:t>
      </w:r>
    </w:p>
    <w:p w14:paraId="1E672B24">
      <w:pPr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各指标折线图：</w:t>
      </w:r>
    </w:p>
    <w:p w14:paraId="6165B110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默认显示6个月数据。</w:t>
      </w:r>
      <w:r>
        <w:rPr>
          <w:rFonts w:hint="eastAsia" w:ascii="微软雅黑" w:hAnsi="微软雅黑" w:eastAsia="微软雅黑" w:cs="微软雅黑"/>
          <w:lang w:val="en-US" w:eastAsia="zh-CN"/>
        </w:rPr>
        <w:t>默认为最后一个有Actual数据的月份往前数6个月，若公司为新建公司，则默认为当前日历月往前数6个月。</w:t>
      </w:r>
    </w:p>
    <w:p w14:paraId="6C00F026">
      <w:pPr>
        <w:numPr>
          <w:ilvl w:val="0"/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该板块进度条展示数量取决于上方筛选框选择组合，</w:t>
      </w:r>
      <w:r>
        <w:rPr>
          <w:rFonts w:hint="eastAsia" w:ascii="微软雅黑" w:hAnsi="微软雅黑" w:eastAsia="微软雅黑" w:cs="微软雅黑"/>
          <w:lang w:val="en-US" w:eastAsia="zh-CN"/>
        </w:rPr>
        <w:t>最多会有12条折线，同上，纵坐标是百分位P，横坐标是月份，每个月份每条折线都有一个点位，鼠标悬停为横轴射线，射线的tooltip展示这些点位的百分位排名。</w:t>
      </w:r>
    </w:p>
    <w:p w14:paraId="1CC2778E">
      <w:pPr>
        <w:numPr>
          <w:ilvl w:val="0"/>
          <w:numId w:val="2"/>
        </w:numPr>
        <w:ind w:left="0" w:leftChars="0" w:firstLine="0" w:firstLineChars="0"/>
        <w:rPr>
          <w:rFonts w:hint="default" w:ascii="微软雅黑" w:hAnsi="微软雅黑" w:eastAsia="微软雅黑" w:cs="微软雅黑"/>
          <w:b/>
          <w:bCs/>
          <w:color w:val="auto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color w:val="auto"/>
          <w:lang w:val="en-US" w:eastAsia="zh-CN"/>
        </w:rPr>
        <w:t>Metrics Summary</w:t>
      </w:r>
    </w:p>
    <w:p w14:paraId="3EC0A769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lang w:val="en-US" w:eastAsia="zh-CN"/>
        </w:rPr>
        <w:t>该雷达图最多会有12条线，同上。六个指标各占一个角，共有四圈加一个中心点位，中心点位为0%，向外依次是25%、50%、75%、100%。若某个指标未被选择，则该指标不显示点位，鼠标悬停显示该点位信息：</w:t>
      </w:r>
      <w:r>
        <w:rPr>
          <w:rFonts w:hint="eastAsia" w:ascii="微软雅黑" w:hAnsi="微软雅黑" w:eastAsia="微软雅黑" w:cs="微软雅黑"/>
          <w:lang w:val="en-US" w:eastAsia="zh-CN"/>
        </w:rPr>
        <w:t>第一行展示筛选条件DATA-BENCHMARK，第二行展示数值Percentile</w:t>
      </w:r>
    </w:p>
    <w:p w14:paraId="2543BFE9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</w:p>
    <w:p w14:paraId="7F843B0D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</w:p>
    <w:p w14:paraId="0478771A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 w:val="0"/>
          <w:bCs w:val="0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51ADB3"/>
    <w:multiLevelType w:val="singleLevel"/>
    <w:tmpl w:val="B751ADB3"/>
    <w:lvl w:ilvl="0" w:tentative="0">
      <w:start w:val="1"/>
      <w:numFmt w:val="decimal"/>
      <w:suff w:val="space"/>
      <w:lvlText w:val="%1."/>
      <w:lvlJc w:val="left"/>
      <w:rPr>
        <w:rFonts w:hint="default"/>
        <w:color w:val="4874CB" w:themeColor="accent1"/>
        <w14:textFill>
          <w14:solidFill>
            <w14:schemeClr w14:val="accent1"/>
          </w14:solidFill>
        </w14:textFill>
      </w:rPr>
    </w:lvl>
  </w:abstractNum>
  <w:abstractNum w:abstractNumId="1">
    <w:nsid w:val="E7B1DF4D"/>
    <w:multiLevelType w:val="singleLevel"/>
    <w:tmpl w:val="E7B1DF4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1548728"/>
    <w:multiLevelType w:val="singleLevel"/>
    <w:tmpl w:val="01548728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4874CB" w:themeColor="accent1"/>
        <w14:textFill>
          <w14:solidFill>
            <w14:schemeClr w14:val="accent1"/>
          </w14:solidFill>
        </w14:textFill>
      </w:rPr>
    </w:lvl>
  </w:abstractNum>
  <w:abstractNum w:abstractNumId="3">
    <w:nsid w:val="243BE99D"/>
    <w:multiLevelType w:val="singleLevel"/>
    <w:tmpl w:val="243BE99D"/>
    <w:lvl w:ilvl="0" w:tentative="0">
      <w:start w:val="2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4874CB" w:themeColor="accent1"/>
        <w14:textFill>
          <w14:solidFill>
            <w14:schemeClr w14:val="accent1"/>
          </w14:solidFill>
        </w14:textFill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11474"/>
    <w:rsid w:val="30124103"/>
    <w:rsid w:val="37D12EE5"/>
    <w:rsid w:val="3BC11474"/>
    <w:rsid w:val="5B825CAE"/>
    <w:rsid w:val="6389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1865</Words>
  <Characters>3403</Characters>
  <Lines>0</Lines>
  <Paragraphs>0</Paragraphs>
  <TotalTime>37</TotalTime>
  <ScaleCrop>false</ScaleCrop>
  <LinksUpToDate>false</LinksUpToDate>
  <CharactersWithSpaces>3627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2026-03-23T02:42:00Z</dcterms:created>
  <dc:creator>Ann</dc:creator>
  <cp:lastModifiedBy>Ann</cp:lastModifiedBy>
  <dcterms:modified xsi:type="dcterms:W3CDTF">2026-03-23T08:09:45Z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22EFDE6C44D446C0A2AF4BF01359E0CC_11</vt:lpwstr>
  </property>
  <property fmtid="{D5CDD505-2E9C-101B-9397-08002B2CF9AE}" pid="4" name="KSOTemplateDocerSaveRecord">
    <vt:lpwstr>eyJoZGlkIjoiZGNhNzY1NzZkN2ZhYmQ2MjFlODU2YjNhNTc0MmVlNWIiLCJ1c2VySWQiOiIxNTQ5ODk4OTk4In0=</vt:lpwstr>
  </property>
</Properties>
</file>