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872A3">
      <w:pPr>
        <w:rPr>
          <w:rFonts w:hint="default" w:ascii="Verdana" w:hAnsi="Verdana" w:cs="Verdana"/>
          <w:lang w:val="en-US" w:eastAsia="zh-CN"/>
        </w:rPr>
      </w:pPr>
      <w:r>
        <w:rPr>
          <w:rFonts w:hint="eastAsia" w:ascii="Verdana" w:hAnsi="Verdana" w:cs="Verdana"/>
          <w:b/>
          <w:bCs/>
          <w:lang w:val="en-US" w:eastAsia="zh-CN"/>
        </w:rPr>
        <w:t>指标公式及定义：</w:t>
      </w:r>
      <w:r>
        <w:rPr>
          <w:rFonts w:hint="eastAsia" w:ascii="Verdana" w:hAnsi="Verdana" w:cs="Verdana"/>
          <w:b/>
          <w:bCs/>
          <w:lang w:val="en-US" w:eastAsia="zh-CN"/>
        </w:rPr>
        <w:br w:type="textWrapping"/>
      </w:r>
      <w:r>
        <w:rPr>
          <w:rFonts w:hint="default" w:ascii="Verdana" w:hAnsi="Verdana" w:cs="Verdana"/>
          <w:lang w:val="en-US" w:eastAsia="zh-CN"/>
        </w:rPr>
        <w:t>ARR Growth Rate</w:t>
      </w:r>
      <w:r>
        <w:rPr>
          <w:rFonts w:hint="eastAsia" w:ascii="Verdana" w:hAnsi="Verdana" w:cs="Verdana"/>
          <w:lang w:val="en-US" w:eastAsia="zh-CN"/>
        </w:rPr>
        <w:t>_t=(ARR_t-ARR_(t-1))/ARR_t</w:t>
      </w:r>
    </w:p>
    <w:p w14:paraId="48D687A6">
      <w:pPr>
        <w:rPr>
          <w:rFonts w:hint="eastAsia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br w:type="textWrapping"/>
      </w:r>
      <w:r>
        <w:rPr>
          <w:rFonts w:hint="default" w:ascii="Verdana" w:hAnsi="Verdana" w:cs="Verdana"/>
          <w:lang w:val="en-US" w:eastAsia="zh-CN"/>
        </w:rPr>
        <w:t>Sales Efficiency Ratio</w:t>
      </w:r>
      <w:r>
        <w:rPr>
          <w:rFonts w:hint="eastAsia" w:ascii="Verdana" w:hAnsi="Verdana" w:cs="Verdana"/>
          <w:lang w:val="en-US" w:eastAsia="zh-CN"/>
        </w:rPr>
        <w:t>=(S&amp;M Expenses + S&amp;M Payroll) / New MRR LTM</w:t>
      </w:r>
    </w:p>
    <w:p w14:paraId="2EC0ABFD">
      <w:pPr>
        <w:rPr>
          <w:rFonts w:hint="eastAsia" w:ascii="Verdana" w:hAnsi="Verdana" w:cs="Verdana"/>
          <w:lang w:val="en-US" w:eastAsia="zh-CN"/>
        </w:rPr>
      </w:pPr>
      <w:r>
        <w:rPr>
          <w:rFonts w:hint="eastAsia" w:ascii="Verdana" w:hAnsi="Verdana" w:cs="Verdana"/>
          <w:lang w:val="en-US" w:eastAsia="zh-CN"/>
        </w:rPr>
        <w:t>This ratio, represented as a dollar amount, represents the amount of money spent on marketing compared to the amount of new monthly recurring revenue the company secures as a result.</w:t>
      </w:r>
    </w:p>
    <w:p w14:paraId="2BAE1D28">
      <w:pPr>
        <w:rPr>
          <w:rFonts w:hint="eastAsia" w:ascii="Verdana" w:hAnsi="Verdana" w:cs="Verdana"/>
          <w:lang w:val="en-US" w:eastAsia="zh-CN"/>
        </w:rPr>
      </w:pPr>
    </w:p>
    <w:p w14:paraId="4A081E53">
      <w:pPr>
        <w:rPr>
          <w:rFonts w:hint="eastAsia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Rule of 40</w:t>
      </w:r>
      <w:r>
        <w:rPr>
          <w:rFonts w:hint="eastAsia" w:ascii="Verdana" w:hAnsi="Verdana" w:cs="Verdana"/>
          <w:lang w:val="en-US" w:eastAsia="zh-CN"/>
        </w:rPr>
        <w:t>=(Net Profit Margin + MRR YoY Growth Rate) * 100%</w:t>
      </w:r>
    </w:p>
    <w:p w14:paraId="17DC7880">
      <w:pPr>
        <w:rPr>
          <w:rFonts w:hint="default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Calculated by adding the revenue growth rate to the profit margin, this number</w:t>
      </w:r>
      <w:r>
        <w:rPr>
          <w:rFonts w:hint="eastAsia" w:ascii="Verdana" w:hAnsi="Verdana" w:cs="Verdana"/>
          <w:lang w:val="en-US" w:eastAsia="zh-CN"/>
        </w:rPr>
        <w:t xml:space="preserve"> </w:t>
      </w:r>
      <w:r>
        <w:rPr>
          <w:rFonts w:hint="default" w:ascii="Verdana" w:hAnsi="Verdana" w:cs="Verdana"/>
          <w:lang w:val="en-US" w:eastAsia="zh-CN"/>
        </w:rPr>
        <w:t>should ideally exceed 40%.</w:t>
      </w:r>
    </w:p>
    <w:p w14:paraId="42E2854A">
      <w:pPr>
        <w:rPr>
          <w:rFonts w:hint="default" w:ascii="Verdana" w:hAnsi="Verdana" w:cs="Verdana"/>
          <w:lang w:val="en-US" w:eastAsia="zh-CN"/>
        </w:rPr>
      </w:pPr>
    </w:p>
    <w:p w14:paraId="619959DE">
      <w:pPr>
        <w:rPr>
          <w:rFonts w:hint="default" w:ascii="Verdana" w:hAnsi="Verdana" w:cs="Verdana"/>
          <w:lang w:val="en-US" w:eastAsia="zh-CN"/>
        </w:rPr>
      </w:pPr>
      <w:r>
        <w:rPr>
          <w:rFonts w:hint="eastAsia" w:ascii="Verdana" w:hAnsi="Verdana" w:cs="Verdana"/>
          <w:lang w:val="en-US" w:eastAsia="zh-CN"/>
        </w:rPr>
        <w:t>I</w:t>
      </w:r>
      <w:r>
        <w:rPr>
          <w:rFonts w:hint="default" w:ascii="Verdana" w:hAnsi="Verdana" w:cs="Verdana"/>
          <w:lang w:val="en-US" w:eastAsia="zh-CN"/>
        </w:rPr>
        <w:t>f exclusively either "Cash" or "Monthly Net Brun Rate" is negative</w:t>
      </w:r>
      <w:r>
        <w:rPr>
          <w:rFonts w:ascii="Calibri" w:hAnsi="Calibri" w:eastAsia="Calibri" w:cs="Calibr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bookmarkStart w:id="0" w:name="OLE_LINK1"/>
      <w:r>
        <w:rPr>
          <w:rFonts w:hint="default" w:ascii="Verdana" w:hAnsi="Verdana" w:cs="Verdana"/>
          <w:lang w:val="en-US" w:eastAsia="zh-CN"/>
        </w:rPr>
        <w:t>Monthly Runway</w:t>
      </w:r>
      <w:r>
        <w:rPr>
          <w:rFonts w:hint="eastAsia" w:ascii="Verdana" w:hAnsi="Verdana" w:cs="Verdana"/>
          <w:lang w:val="en-US" w:eastAsia="zh-CN"/>
        </w:rPr>
        <w:t>=</w:t>
      </w:r>
      <w:bookmarkEnd w:id="0"/>
      <w:r>
        <w:rPr>
          <w:rFonts w:hint="eastAsia" w:ascii="Verdana" w:hAnsi="Verdana" w:cs="Verdana"/>
          <w:lang w:val="en-US" w:eastAsia="zh-CN"/>
        </w:rPr>
        <w:t>- (Cash / Monthly Net Burn Rate) ；</w:t>
      </w:r>
      <w:r>
        <w:rPr>
          <w:rFonts w:hint="eastAsia" w:ascii="Verdana" w:hAnsi="Verdana" w:cs="Verdana"/>
          <w:lang w:val="en-US" w:eastAsia="zh-CN"/>
        </w:rPr>
        <w:br w:type="textWrapping"/>
      </w:r>
      <w:r>
        <w:rPr>
          <w:rFonts w:hint="eastAsia" w:ascii="Verdana" w:hAnsi="Verdana" w:cs="Verdana"/>
          <w:lang w:val="en-US" w:eastAsia="zh-CN"/>
        </w:rPr>
        <w:t>Otherwise,</w:t>
      </w:r>
      <w:r>
        <w:rPr>
          <w:rFonts w:hint="eastAsia" w:ascii="Verdana" w:hAnsi="Verdana" w:cs="Verdana"/>
          <w:lang w:val="en-US" w:eastAsia="zh-CN"/>
        </w:rPr>
        <w:br w:type="textWrapping"/>
      </w:r>
      <w:r>
        <w:rPr>
          <w:rFonts w:hint="default" w:ascii="Verdana" w:hAnsi="Verdana" w:cs="Verdana"/>
          <w:lang w:val="en-US" w:eastAsia="zh-CN"/>
        </w:rPr>
        <w:t>Monthly Runway</w:t>
      </w:r>
      <w:r>
        <w:rPr>
          <w:rFonts w:hint="eastAsia" w:ascii="Verdana" w:hAnsi="Verdana" w:cs="Verdana"/>
          <w:lang w:val="en-US" w:eastAsia="zh-CN"/>
        </w:rPr>
        <w:t>=NA.</w:t>
      </w:r>
    </w:p>
    <w:p w14:paraId="49D16575">
      <w:pPr>
        <w:rPr>
          <w:rFonts w:hint="default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Amount of time a business or individual can sustain operations based on current cash reserves and monthly expenses.</w:t>
      </w:r>
      <w:r>
        <w:rPr>
          <w:rFonts w:hint="default" w:ascii="Verdana" w:hAnsi="Verdana" w:cs="Verdana"/>
          <w:lang w:val="en-US" w:eastAsia="zh-CN"/>
        </w:rPr>
        <w:br w:type="textWrapping"/>
      </w:r>
    </w:p>
    <w:p w14:paraId="1EF421AC">
      <w:pPr>
        <w:rPr>
          <w:rFonts w:hint="default" w:ascii="Verdana" w:hAnsi="Verdana" w:cs="Verdana"/>
          <w:lang w:val="en-US" w:eastAsia="zh-CN"/>
        </w:rPr>
      </w:pPr>
    </w:p>
    <w:p w14:paraId="65DEFD8F">
      <w:pPr>
        <w:rPr>
          <w:rFonts w:hint="eastAsia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Monthly Net Burn Rate</w:t>
      </w:r>
      <w:r>
        <w:rPr>
          <w:rFonts w:hint="eastAsia" w:ascii="Verdana" w:hAnsi="Verdana" w:cs="Verdana"/>
          <w:lang w:val="en-US" w:eastAsia="zh-CN"/>
        </w:rPr>
        <w:t>=Net Income -  Capitalized R&amp;D(Monthly)</w:t>
      </w:r>
    </w:p>
    <w:p w14:paraId="1FE519B2">
      <w:pPr>
        <w:rPr>
          <w:rFonts w:hint="default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A company's Monthly Net Burn Rate is the resulting dollar amount when Operating Expenses have been subtracted from a company's Gross Profit</w:t>
      </w:r>
    </w:p>
    <w:p w14:paraId="748EA4E3">
      <w:pPr>
        <w:rPr>
          <w:rFonts w:hint="default" w:ascii="Verdana" w:hAnsi="Verdana" w:cs="Verdana"/>
          <w:lang w:val="en-US" w:eastAsia="zh-CN"/>
        </w:rPr>
      </w:pPr>
    </w:p>
    <w:p w14:paraId="3991A26B">
      <w:pPr>
        <w:rPr>
          <w:rFonts w:hint="eastAsia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Gross Margin</w:t>
      </w:r>
      <w:r>
        <w:rPr>
          <w:rFonts w:hint="eastAsia" w:ascii="Verdana" w:hAnsi="Verdana" w:cs="Verdana"/>
          <w:lang w:val="en-US" w:eastAsia="zh-CN"/>
        </w:rPr>
        <w:t>=Gross Profit / Gross Revenue*100%</w:t>
      </w:r>
    </w:p>
    <w:p w14:paraId="095E8F4D">
      <w:pPr>
        <w:rPr>
          <w:rFonts w:hint="default" w:ascii="Verdana" w:hAnsi="Verdana" w:cs="Verdana"/>
          <w:lang w:val="en-US" w:eastAsia="zh-CN"/>
        </w:rPr>
      </w:pPr>
      <w:r>
        <w:rPr>
          <w:rFonts w:hint="default" w:ascii="Verdana" w:hAnsi="Verdana" w:cs="Verdana"/>
          <w:lang w:val="en-US" w:eastAsia="zh-CN"/>
        </w:rPr>
        <w:t>It measures the percentage of revenue remaining after accounting for the Cost of Goods Sold (COGS)</w:t>
      </w:r>
    </w:p>
    <w:p w14:paraId="7A7DEAD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以上每个指标在benchmark页面需要用的基础信息包括</w:t>
      </w:r>
      <w:r>
        <w:rPr>
          <w:rFonts w:hint="eastAsia" w:ascii="微软雅黑" w:hAnsi="微软雅黑" w:eastAsia="微软雅黑" w:cs="微软雅黑"/>
          <w:color w:val="00B050"/>
          <w:lang w:val="en-US" w:eastAsia="zh-CN"/>
        </w:rPr>
        <w:t>LG Formula，Platform，Edition，Metric Name，Definition， FY Period，</w:t>
      </w:r>
      <w:r>
        <w:rPr>
          <w:rFonts w:hint="eastAsia" w:ascii="微软雅黑" w:hAnsi="微软雅黑" w:eastAsia="微软雅黑" w:cs="微软雅黑"/>
          <w:color w:val="00B050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00B050"/>
          <w:lang w:val="en-US" w:eastAsia="zh-CN"/>
        </w:rPr>
        <w:t>Segment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vertAlign w:val="superscript"/>
          <w:lang w:val="en-US" w:eastAsia="zh-CN"/>
        </w:rPr>
        <w:t>th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Median, 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75</w:t>
      </w:r>
      <w:r>
        <w:rPr>
          <w:rFonts w:hint="eastAsia" w:ascii="微软雅黑" w:hAnsi="微软雅黑" w:eastAsia="微软雅黑" w:cs="微软雅黑"/>
          <w:vertAlign w:val="superscript"/>
          <w:lang w:val="en-US" w:eastAsia="zh-CN"/>
        </w:rPr>
        <w:t>th</w:t>
      </w:r>
      <w:r>
        <w:rPr>
          <w:rFonts w:hint="eastAsia" w:ascii="微软雅黑" w:hAnsi="微软雅黑" w:eastAsia="微软雅黑" w:cs="微软雅黑"/>
          <w:lang w:val="en-US" w:eastAsia="zh-CN"/>
        </w:rPr>
        <w:t>，Data，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Best Guess，对应Benchmark Entry中填入的信息。其中，指标的Tooltip显示绿色内容。</w:t>
      </w:r>
    </w:p>
    <w:p w14:paraId="5FFF563A">
      <w:pPr>
        <w:rPr>
          <w:rFonts w:hint="default" w:ascii="Verdana" w:hAnsi="Verdana" w:cs="Verdana"/>
          <w:lang w:val="en-US" w:eastAsia="zh-CN"/>
        </w:rPr>
      </w:pPr>
    </w:p>
    <w:p w14:paraId="3DCDC07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百分位排名引擎需求：</w:t>
      </w:r>
    </w:p>
    <w:p w14:paraId="184A581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 百分位计算方法：</w:t>
      </w:r>
    </w:p>
    <w:p w14:paraId="685A0ACB">
      <w:pPr>
        <w:rPr>
          <w:rFonts w:hint="eastAsia" w:ascii="微软雅黑" w:hAnsi="微软雅黑" w:eastAsia="微软雅黑" w:cs="微软雅黑"/>
          <w:b w:val="0"/>
          <w:bCs w:val="0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FF"/>
          <w:lang w:val="en-US" w:eastAsia="zh-CN"/>
        </w:rPr>
        <w:t>Internal Peer：</w:t>
      </w:r>
      <w:bookmarkStart w:id="1" w:name="_GoBack"/>
      <w:bookmarkEnd w:id="1"/>
    </w:p>
    <w:p w14:paraId="1FE455E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目标：使用最近排名百分位法（Nearest Rank percentile method）计算财务指标的百分位排名（取值范围：0-100）</w:t>
      </w:r>
    </w:p>
    <w:p w14:paraId="20E7F58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指标排序：</w:t>
      </w:r>
    </w:p>
    <w:p w14:paraId="2787E81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除Monthly Net Burn Rate外，其他指标按升序排序。</w:t>
      </w:r>
    </w:p>
    <w:p w14:paraId="076D038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Monthly Net Burn Rate按降序排序</w:t>
      </w:r>
    </w:p>
    <w:p w14:paraId="5EE6ABA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对于百分位值 p（取值范围：0–100）公式：</w:t>
      </w:r>
    </w:p>
    <w:p w14:paraId="3A2530D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P_target = (R - 1)/(N - 1) × 100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其中：</w:t>
      </w:r>
    </w:p>
    <w:p w14:paraId="119A0DF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R= 目标公司在同行中的排名</w:t>
      </w:r>
    </w:p>
    <w:p w14:paraId="04BA16F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N= 同行公司总数</w:t>
      </w:r>
    </w:p>
    <w:p w14:paraId="3DFA348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P_target = 百分位排名</w:t>
      </w:r>
    </w:p>
    <w:p w14:paraId="2A4DCE2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特殊情况：</w:t>
      </w:r>
    </w:p>
    <w:p w14:paraId="1023ED1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 ( N = 1 )，则百分位 = 100</w:t>
      </w:r>
    </w:p>
    <w:p w14:paraId="3E1E2F0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如果公司值相同，使用标准竞争排名（比如排名：1,2,2,4）来处理排名相同的情况</w:t>
      </w:r>
    </w:p>
    <w:p w14:paraId="71CCE7BD">
      <w:pPr>
        <w:rPr>
          <w:rFonts w:hint="eastAsia" w:ascii="微软雅黑" w:hAnsi="微软雅黑" w:eastAsia="微软雅黑"/>
          <w:b w:val="0"/>
          <w:bCs w:val="0"/>
          <w:strike w:val="0"/>
          <w:dstrike w:val="0"/>
          <w:color w:val="0000FF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strike w:val="0"/>
          <w:dstrike w:val="0"/>
          <w:color w:val="0000FF"/>
          <w:lang w:val="en-US" w:eastAsia="zh-CN"/>
        </w:rPr>
        <w:t>外部平台基准：</w:t>
      </w:r>
    </w:p>
    <w:p w14:paraId="27CA92E0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t>P25,P50,P75</w:t>
      </w: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t>P50</w:t>
      </w: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t>计算原则：落入段间，用线性插入计算，展示~P56.</w:t>
      </w: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bCs w:val="0"/>
          <w:strike w:val="0"/>
          <w:dstrike w:val="0"/>
          <w:lang w:val="en-US" w:eastAsia="zh-CN"/>
        </w:rPr>
        <w:t>落入区间外，UI单个指标bar显示大于小于号。汇总平均计算时用临近的边界值，但是如果只有P50，那就用P25，P50，P75.</w:t>
      </w:r>
    </w:p>
    <w:p w14:paraId="004CABC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 同行：</w:t>
      </w:r>
    </w:p>
    <w:p w14:paraId="4A1ACD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默认同行基于以下属性定义：</w:t>
      </w:r>
    </w:p>
    <w:p w14:paraId="716732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公司类型</w:t>
      </w:r>
    </w:p>
    <w:p w14:paraId="5F446F5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公司阶段</w:t>
      </w:r>
    </w:p>
    <w:p w14:paraId="097C140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会计方法（现金 vs. 权责发生制）。</w:t>
      </w:r>
    </w:p>
    <w:p w14:paraId="3DBC7A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ARR规模（分为几个范围：$1–$250K，$250K–$1M，$1M–$5M，$5M–$20M，$20M+）。 如果没有符合条件的同行，则回退到LG平台基准（即LG内部所有活跃公司）。</w:t>
      </w:r>
    </w:p>
    <w:p w14:paraId="61C481A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 排除条件和边缘案例：</w:t>
      </w:r>
    </w:p>
    <w:p w14:paraId="5522CB8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排除：已退出（Exited）”、“已关闭（Shut Down）”或“非活跃（Inactive）”的公司将被排除在同行之外。</w:t>
      </w:r>
    </w:p>
    <w:p w14:paraId="0FD6B5D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单公司同行：如果同行中的公司少于4个，则回退到LG平台基准。</w:t>
      </w:r>
    </w:p>
    <w:p w14:paraId="18EB18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缺失指标：如果公司的某个指标缺失或为空值，该公司将被排除在基准计算之外。</w:t>
      </w:r>
    </w:p>
    <w:p w14:paraId="1C7ADC2D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指标值相同的公司：若多个公司有相同的指标值，分配相同的排名和百分位。UI明示。</w:t>
      </w:r>
    </w:p>
    <w:p w14:paraId="01226568">
      <w:pPr>
        <w:rPr>
          <w:rFonts w:hint="eastAsia" w:ascii="微软雅黑" w:hAnsi="微软雅黑" w:eastAsia="微软雅黑"/>
          <w:strike w:val="0"/>
          <w:dstrike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全部相同的情况：对于所有指标值完全相同的情况，</w:t>
      </w:r>
      <w:r>
        <w:rPr>
          <w:rFonts w:hint="eastAsia" w:ascii="微软雅黑" w:hAnsi="微软雅黑" w:eastAsia="微软雅黑"/>
          <w:strike w:val="0"/>
          <w:dstrike w:val="0"/>
          <w:lang w:val="en-US" w:eastAsia="zh-CN"/>
        </w:rPr>
        <w:t>不再显示具体的百分位区间，UI明示，不计入percentile的汇总平均。</w:t>
      </w:r>
    </w:p>
    <w:p w14:paraId="6F8CD49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 权重计算：</w:t>
      </w:r>
    </w:p>
    <w:p w14:paraId="112EEE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类别分数：每个类别内所有有效指标的百分位数的算术平均。</w:t>
      </w:r>
    </w:p>
    <w:p w14:paraId="08F0881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总体分数：四个类别分数的算术平均。</w:t>
      </w:r>
    </w:p>
    <w:p w14:paraId="659AD83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 基准计算更新：实时查询计算</w:t>
      </w:r>
    </w:p>
    <w:p w14:paraId="2911740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 输出要求：</w:t>
      </w:r>
    </w:p>
    <w:p w14:paraId="5BD0EE1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百分位排名：每个公司的精确百分位排名</w:t>
      </w:r>
    </w:p>
    <w:p w14:paraId="6454070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同行规模：</w:t>
      </w: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同行中的公司数量</w:t>
      </w:r>
    </w:p>
    <w:p w14:paraId="764B385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相对分组：将公司划分为前四分位、后四分位等</w:t>
      </w:r>
    </w:p>
    <w:p w14:paraId="185C42B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排名结果：排名结果可供用户界面（UI）及分析层调用与展</w:t>
      </w:r>
    </w:p>
    <w:p w14:paraId="78FFAD5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7. 基准重新计算：</w:t>
      </w:r>
    </w:p>
    <w:p w14:paraId="5F1253A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如果公司所属的同行发生变化（无论是管理员手动操作，还是因公司属性变化而自动调整），则应重新计算基准。</w:t>
      </w:r>
    </w:p>
    <w:p w14:paraId="6C6E823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8. 百分位处理：</w:t>
      </w:r>
    </w:p>
    <w:p w14:paraId="322E5E5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精确百分位：如果可能，计算并显示精确百分位（例如P45）</w:t>
      </w:r>
    </w:p>
    <w:p w14:paraId="6D1C500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如果无法精确计算，则使用线性插值显示百分位（例如：~P64）</w:t>
      </w:r>
    </w:p>
    <w:p w14:paraId="1A85D50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总结时需要显示说明，如“Includes estimated percentiles (interpolated values used boundary values used)”</w:t>
      </w:r>
    </w:p>
    <w:p w14:paraId="65A956A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超出范围处理：如果指标值超出基准范围，使用“＞”或“＜”表示。例如“＞P75”或“＜P25”</w:t>
      </w:r>
    </w:p>
    <w:p w14:paraId="70DF884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如果报告只提供中位数（P50），则对于总结计算使用以下百分位：</w:t>
      </w:r>
    </w:p>
    <w:p w14:paraId="314D269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高于中位数 = 75</w:t>
      </w:r>
    </w:p>
    <w:p w14:paraId="1C4FB5C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低于中位数 = 25</w:t>
      </w:r>
    </w:p>
    <w:p w14:paraId="7FE4009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等于中位数 = 50</w:t>
      </w:r>
    </w:p>
    <w:p w14:paraId="32E12BA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分布条形图：使用水平的彩色条形图来展示指标的相对位置</w:t>
      </w:r>
    </w:p>
    <w:p w14:paraId="2878129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Note：</w:t>
      </w:r>
    </w:p>
    <w:p w14:paraId="3481729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同行定义：执行Peer Management逻辑。</w:t>
      </w:r>
    </w:p>
    <w:p w14:paraId="4A189FFC">
      <w:pPr>
        <w:rPr>
          <w:rFonts w:hint="default" w:ascii="Verdana" w:hAnsi="Verdana" w:cs="Verdan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UI指示：当回退到LG平台基准时，需要在UI中提供提示（即没有有效的同行时）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5562E"/>
    <w:rsid w:val="0C3C63F0"/>
    <w:rsid w:val="145D6C3F"/>
    <w:rsid w:val="24A70112"/>
    <w:rsid w:val="30C5562E"/>
    <w:rsid w:val="33801D6C"/>
    <w:rsid w:val="58895E19"/>
    <w:rsid w:val="69FB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1225</Words>
  <Characters>2241</Characters>
  <Lines>0</Lines>
  <Paragraphs>0</Paragraphs>
  <TotalTime>14</TotalTime>
  <ScaleCrop>false</ScaleCrop>
  <LinksUpToDate>false</LinksUpToDate>
  <CharactersWithSpaces>2450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2026-03-17T02:50:00Z</dcterms:created>
  <dc:creator>Ann</dc:creator>
  <cp:lastModifiedBy>Ann</cp:lastModifiedBy>
  <dcterms:modified xsi:type="dcterms:W3CDTF">2026-03-17T08:48:28Z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861B2089DB9F4B5195E7ACF0DC32803B_11</vt:lpwstr>
  </property>
  <property fmtid="{D5CDD505-2E9C-101B-9397-08002B2CF9AE}" pid="4" name="KSOTemplateDocerSaveRecord">
    <vt:lpwstr>eyJoZGlkIjoiZGNhNzY1NzZkN2ZhYmQ2MjFlODU2YjNhNTc0MmVlNWIiLCJ1c2VySWQiOiIxNTQ5ODk4OTk4In0=</vt:lpwstr>
  </property>
</Properties>
</file>