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A09E3">
      <w:pPr>
        <w:ind w:firstLine="840" w:firstLineChars="400"/>
        <w:rPr>
          <w:rFonts w:hint="eastAsia" w:ascii="微软雅黑" w:hAnsi="微软雅黑" w:eastAsia="微软雅黑" w:cs="微软雅黑"/>
          <w:b/>
          <w:bCs/>
        </w:rPr>
      </w:pPr>
      <w:r>
        <w:rPr>
          <w:rFonts w:hint="eastAsia" w:ascii="微软雅黑" w:hAnsi="微软雅黑" w:eastAsia="微软雅黑" w:cs="微软雅黑"/>
          <w:b/>
          <w:bCs/>
        </w:rPr>
        <w:t>Looking Glass (LG) 文档上传工作流 — 完整需求清单</w:t>
      </w:r>
    </w:p>
    <w:p w14:paraId="4D3E5619">
      <w:pPr>
        <w:rPr>
          <w:rFonts w:hint="eastAsia" w:ascii="微软雅黑" w:hAnsi="微软雅黑" w:eastAsia="微软雅黑" w:cs="微软雅黑"/>
          <w:b/>
          <w:bCs/>
        </w:rPr>
      </w:pPr>
      <w:r>
        <w:rPr>
          <w:rFonts w:hint="eastAsia" w:ascii="微软雅黑" w:hAnsi="微软雅黑" w:eastAsia="微软雅黑" w:cs="微软雅黑"/>
          <w:b/>
          <w:bCs/>
          <w:lang w:val="en-US" w:eastAsia="zh-CN"/>
        </w:rPr>
        <w:t>#</w:t>
      </w:r>
      <w:r>
        <w:rPr>
          <w:rFonts w:hint="eastAsia" w:ascii="微软雅黑" w:hAnsi="微软雅黑" w:eastAsia="微软雅黑" w:cs="微软雅黑"/>
          <w:b/>
          <w:bCs/>
        </w:rPr>
        <w:t>Step 1: 文档上传</w:t>
      </w:r>
    </w:p>
    <w:p w14:paraId="038CAB67">
      <w:pPr>
        <w:rPr>
          <w:rFonts w:hint="eastAsia" w:ascii="微软雅黑" w:hAnsi="微软雅黑" w:eastAsia="微软雅黑" w:cs="微软雅黑"/>
        </w:rPr>
      </w:pPr>
      <w:r>
        <w:rPr>
          <w:rFonts w:hint="eastAsia" w:ascii="微软雅黑" w:hAnsi="微软雅黑" w:eastAsia="微软雅黑" w:cs="微软雅黑"/>
        </w:rPr>
        <w:t>触发与入口</w:t>
      </w:r>
    </w:p>
    <w:p w14:paraId="17F8CF48">
      <w:pPr>
        <w:rPr>
          <w:rFonts w:hint="eastAsia" w:ascii="微软雅黑" w:hAnsi="微软雅黑" w:eastAsia="微软雅黑" w:cs="微软雅黑"/>
        </w:rPr>
      </w:pPr>
      <w:r>
        <w:rPr>
          <w:rFonts w:hint="eastAsia" w:ascii="微软雅黑" w:hAnsi="微软雅黑" w:eastAsia="微软雅黑" w:cs="微软雅黑"/>
        </w:rPr>
        <w:t>1. 用户通过系统界面发起文档上传操作</w:t>
      </w:r>
    </w:p>
    <w:p w14:paraId="34A50BB9">
      <w:pPr>
        <w:rPr>
          <w:rFonts w:hint="eastAsia" w:ascii="微软雅黑" w:hAnsi="微软雅黑" w:eastAsia="微软雅黑" w:cs="微软雅黑"/>
        </w:rPr>
      </w:pPr>
      <w:r>
        <w:rPr>
          <w:rFonts w:hint="eastAsia" w:ascii="微软雅黑" w:hAnsi="微软雅黑" w:eastAsia="微软雅黑" w:cs="微软雅黑"/>
        </w:rPr>
        <w:t>2. 支持上传的文档类型：PDF、图片（扫描件）、Excel</w:t>
      </w:r>
    </w:p>
    <w:p w14:paraId="2D24C8B8">
      <w:pPr>
        <w:rPr>
          <w:rFonts w:hint="eastAsia" w:ascii="微软雅黑" w:hAnsi="微软雅黑" w:eastAsia="微软雅黑" w:cs="微软雅黑"/>
        </w:rPr>
      </w:pPr>
      <w:r>
        <w:rPr>
          <w:rFonts w:hint="eastAsia" w:ascii="微软雅黑" w:hAnsi="微软雅黑" w:eastAsia="微软雅黑" w:cs="微软雅黑"/>
        </w:rPr>
        <w:t>上传方式</w:t>
      </w:r>
    </w:p>
    <w:p w14:paraId="027314F0">
      <w:pPr>
        <w:rPr>
          <w:rFonts w:hint="eastAsia" w:ascii="微软雅黑" w:hAnsi="微软雅黑" w:eastAsia="微软雅黑" w:cs="微软雅黑"/>
        </w:rPr>
      </w:pPr>
      <w:r>
        <w:rPr>
          <w:rFonts w:hint="eastAsia" w:ascii="微软雅黑" w:hAnsi="微软雅黑" w:eastAsia="微软雅黑" w:cs="微软雅黑"/>
        </w:rPr>
        <w:t>- 桌面端：支持拖拽上传 + 点击"Select Files"按钮选择文件</w:t>
      </w:r>
    </w:p>
    <w:p w14:paraId="6CE74FE9">
      <w:pPr>
        <w:rPr>
          <w:rFonts w:hint="eastAsia" w:ascii="微软雅黑" w:hAnsi="微软雅黑" w:eastAsia="微软雅黑" w:cs="微软雅黑"/>
        </w:rPr>
      </w:pPr>
      <w:r>
        <w:rPr>
          <w:rFonts w:hint="eastAsia" w:ascii="微软雅黑" w:hAnsi="微软雅黑" w:eastAsia="微软雅黑" w:cs="微软雅黑"/>
        </w:rPr>
        <w:t>- 移动端：不支持拖拽，使用适配移动端的文件选择器</w:t>
      </w:r>
    </w:p>
    <w:p w14:paraId="7A8136B9">
      <w:pPr>
        <w:rPr>
          <w:rFonts w:hint="eastAsia" w:ascii="微软雅黑" w:hAnsi="微软雅黑" w:eastAsia="微软雅黑" w:cs="微软雅黑"/>
        </w:rPr>
      </w:pPr>
      <w:r>
        <w:rPr>
          <w:rFonts w:hint="eastAsia" w:ascii="微软雅黑" w:hAnsi="微软雅黑" w:eastAsia="微软雅黑" w:cs="微软雅黑"/>
        </w:rPr>
        <w:t>- 支持单文件和批量多文件上传</w:t>
      </w:r>
    </w:p>
    <w:p w14:paraId="3EF4E762">
      <w:pPr>
        <w:rPr>
          <w:rFonts w:hint="eastAsia" w:ascii="微软雅黑" w:hAnsi="微软雅黑" w:eastAsia="微软雅黑" w:cs="微软雅黑"/>
        </w:rPr>
      </w:pPr>
      <w:r>
        <w:rPr>
          <w:rFonts w:hint="eastAsia" w:ascii="微软雅黑" w:hAnsi="微软雅黑" w:eastAsia="微软雅黑" w:cs="微软雅黑"/>
        </w:rPr>
        <w:t>3. 支持的财务报表类型：Profit &amp; Loss、Balance Sheet、Cash Flow/ Proforma</w:t>
      </w:r>
    </w:p>
    <w:p w14:paraId="660BBAA0">
      <w:pPr>
        <w:rPr>
          <w:rFonts w:hint="eastAsia" w:ascii="微软雅黑" w:hAnsi="微软雅黑" w:eastAsia="微软雅黑" w:cs="微软雅黑"/>
        </w:rPr>
      </w:pPr>
      <w:r>
        <w:rPr>
          <w:rFonts w:hint="eastAsia" w:ascii="微软雅黑" w:hAnsi="微软雅黑" w:eastAsia="微软雅黑" w:cs="微软雅黑"/>
        </w:rPr>
        <w:t>上传元数据</w:t>
      </w:r>
    </w:p>
    <w:p w14:paraId="67E357FF">
      <w:pPr>
        <w:rPr>
          <w:rFonts w:hint="eastAsia" w:ascii="微软雅黑" w:hAnsi="微软雅黑" w:eastAsia="微软雅黑" w:cs="微软雅黑"/>
        </w:rPr>
      </w:pPr>
      <w:r>
        <w:rPr>
          <w:rFonts w:hint="eastAsia" w:ascii="微软雅黑" w:hAnsi="微软雅黑" w:eastAsia="微软雅黑" w:cs="微软雅黑"/>
        </w:rPr>
        <w:t>4. 上传时用户需</w:t>
      </w:r>
      <w:r>
        <w:rPr>
          <w:rFonts w:hint="default" w:ascii="微软雅黑" w:hAnsi="微软雅黑" w:eastAsia="微软雅黑" w:cs="微软雅黑"/>
          <w:woUserID w:val="1"/>
        </w:rPr>
        <w:t>明确</w:t>
      </w:r>
      <w:r>
        <w:rPr>
          <w:rFonts w:hint="eastAsia" w:ascii="微软雅黑" w:hAnsi="微软雅黑" w:eastAsia="微软雅黑" w:cs="微软雅黑"/>
        </w:rPr>
        <w:t>：</w:t>
      </w:r>
    </w:p>
    <w:p w14:paraId="2829E1A0">
      <w:pPr>
        <w:rPr>
          <w:rFonts w:hint="eastAsia" w:ascii="微软雅黑" w:hAnsi="微软雅黑" w:eastAsia="微软雅黑" w:cs="微软雅黑"/>
        </w:rPr>
      </w:pPr>
      <w:r>
        <w:rPr>
          <w:rFonts w:hint="eastAsia" w:ascii="微软雅黑" w:hAnsi="微软雅黑" w:eastAsia="微软雅黑" w:cs="微软雅黑"/>
        </w:rPr>
        <w:t xml:space="preserve">   - 公司</w:t>
      </w:r>
    </w:p>
    <w:p w14:paraId="138A15E1">
      <w:pPr>
        <w:rPr>
          <w:rFonts w:hint="eastAsia" w:ascii="微软雅黑" w:hAnsi="微软雅黑" w:eastAsia="微软雅黑" w:cs="微软雅黑"/>
        </w:rPr>
      </w:pPr>
      <w:r>
        <w:rPr>
          <w:rFonts w:hint="eastAsia" w:ascii="微软雅黑" w:hAnsi="微软雅黑" w:eastAsia="微软雅黑" w:cs="微软雅黑"/>
        </w:rPr>
        <w:t>文件验证</w:t>
      </w:r>
    </w:p>
    <w:p w14:paraId="79B6B702">
      <w:pPr>
        <w:numPr>
          <w:ilvl w:val="0"/>
          <w:numId w:val="1"/>
        </w:numPr>
        <w:rPr>
          <w:rFonts w:hint="eastAsia" w:ascii="微软雅黑" w:hAnsi="微软雅黑" w:eastAsia="微软雅黑" w:cs="微软雅黑"/>
        </w:rPr>
      </w:pPr>
      <w:r>
        <w:rPr>
          <w:rFonts w:hint="eastAsia" w:ascii="微软雅黑" w:hAnsi="微软雅黑" w:eastAsia="微软雅黑" w:cs="微软雅黑"/>
        </w:rPr>
        <w:t>系统需验证上传文件的格式、大小等基本合规性</w:t>
      </w:r>
    </w:p>
    <w:p w14:paraId="482C62E2">
      <w:pPr>
        <w:numPr>
          <w:ilvl w:val="0"/>
          <w:numId w:val="0"/>
        </w:numPr>
        <w:rPr>
          <w:rFonts w:hint="eastAsia" w:ascii="微软雅黑" w:hAnsi="微软雅黑" w:eastAsia="微软雅黑" w:cs="微软雅黑"/>
        </w:rPr>
      </w:pPr>
      <w:r>
        <w:rPr>
          <w:rFonts w:hint="eastAsia" w:ascii="微软雅黑" w:hAnsi="微软雅黑" w:eastAsia="微软雅黑" w:cs="微软雅黑"/>
        </w:rPr>
        <w:t>- 单个文件最大 20MB（可配置）</w:t>
      </w:r>
    </w:p>
    <w:p w14:paraId="5EAD04C4">
      <w:pPr>
        <w:rPr>
          <w:rFonts w:hint="eastAsia" w:ascii="微软雅黑" w:hAnsi="微软雅黑" w:eastAsia="微软雅黑" w:cs="微软雅黑"/>
        </w:rPr>
      </w:pPr>
      <w:r>
        <w:rPr>
          <w:rFonts w:hint="eastAsia" w:ascii="微软雅黑" w:hAnsi="微软雅黑" w:eastAsia="微软雅黑" w:cs="微软雅黑"/>
        </w:rPr>
        <w:t>- 单批次总大小最大 100MB（可配置）</w:t>
      </w:r>
    </w:p>
    <w:p w14:paraId="5C5DEBEB">
      <w:pPr>
        <w:rPr>
          <w:rFonts w:hint="eastAsia" w:ascii="微软雅黑" w:hAnsi="微软雅黑" w:eastAsia="微软雅黑" w:cs="微软雅黑"/>
        </w:rPr>
      </w:pPr>
      <w:r>
        <w:rPr>
          <w:rFonts w:hint="eastAsia" w:ascii="微软雅黑" w:hAnsi="微软雅黑" w:eastAsia="微软雅黑" w:cs="微软雅黑"/>
        </w:rPr>
        <w:t>- 超限或类型不合法时：不上传该文件，显示用户友好的错误信息</w:t>
      </w:r>
    </w:p>
    <w:p w14:paraId="462EE037">
      <w:pPr>
        <w:rPr>
          <w:rFonts w:hint="eastAsia" w:ascii="微软雅黑" w:hAnsi="微软雅黑" w:eastAsia="微软雅黑" w:cs="微软雅黑"/>
        </w:rPr>
      </w:pPr>
      <w:r>
        <w:rPr>
          <w:rFonts w:hint="eastAsia" w:ascii="微软雅黑" w:hAnsi="微软雅黑" w:eastAsia="微软雅黑" w:cs="微软雅黑"/>
        </w:rPr>
        <w:t>- Pending 或 Uploading 状态下可取消上传</w:t>
      </w:r>
    </w:p>
    <w:p w14:paraId="50EDE497">
      <w:pPr>
        <w:rPr>
          <w:rFonts w:hint="eastAsia" w:ascii="微软雅黑" w:hAnsi="微软雅黑" w:eastAsia="微软雅黑" w:cs="微软雅黑"/>
        </w:rPr>
      </w:pPr>
      <w:r>
        <w:rPr>
          <w:rFonts w:hint="eastAsia" w:ascii="微软雅黑" w:hAnsi="微软雅黑" w:eastAsia="微软雅黑" w:cs="微软雅黑"/>
        </w:rPr>
        <w:t>- 进入 Processing 状态后不可取消</w:t>
      </w:r>
    </w:p>
    <w:p w14:paraId="5014767E">
      <w:pPr>
        <w:rPr>
          <w:rFonts w:hint="eastAsia" w:ascii="微软雅黑" w:hAnsi="微软雅黑" w:eastAsia="微软雅黑" w:cs="微软雅黑"/>
        </w:rPr>
      </w:pPr>
      <w:r>
        <w:rPr>
          <w:rFonts w:hint="eastAsia" w:ascii="微软雅黑" w:hAnsi="微软雅黑" w:eastAsia="微软雅黑" w:cs="微软雅黑"/>
        </w:rPr>
        <w:t>- 上传前可移除单个或多个队列中的文件</w:t>
      </w:r>
    </w:p>
    <w:p w14:paraId="0E542A5E">
      <w:pPr>
        <w:rPr>
          <w:rFonts w:hint="eastAsia" w:ascii="微软雅黑" w:hAnsi="微软雅黑" w:eastAsia="微软雅黑" w:cs="微软雅黑"/>
        </w:rPr>
      </w:pPr>
      <w:r>
        <w:rPr>
          <w:rFonts w:hint="eastAsia" w:ascii="微软雅黑" w:hAnsi="微软雅黑" w:eastAsia="微软雅黑" w:cs="微软雅黑"/>
        </w:rPr>
        <w:t>- 部分文件上传完成后仍可继续添加新文件</w:t>
      </w:r>
    </w:p>
    <w:p w14:paraId="6091D9C7">
      <w:pPr>
        <w:rPr>
          <w:rFonts w:hint="eastAsia" w:ascii="微软雅黑" w:hAnsi="微软雅黑" w:eastAsia="微软雅黑" w:cs="微软雅黑"/>
        </w:rPr>
      </w:pPr>
      <w:r>
        <w:rPr>
          <w:rFonts w:hint="eastAsia" w:ascii="微软雅黑" w:hAnsi="微软雅黑" w:eastAsia="微软雅黑" w:cs="微软雅黑"/>
        </w:rPr>
        <w:t>- 失败的文件可重试上传</w:t>
      </w:r>
    </w:p>
    <w:p w14:paraId="6C218E47">
      <w:pPr>
        <w:numPr>
          <w:ilvl w:val="0"/>
          <w:numId w:val="1"/>
        </w:numPr>
        <w:ind w:left="0" w:leftChars="0" w:firstLine="0" w:firstLineChars="0"/>
        <w:rPr>
          <w:rFonts w:hint="eastAsia" w:ascii="微软雅黑" w:hAnsi="微软雅黑" w:eastAsia="微软雅黑" w:cs="微软雅黑"/>
        </w:rPr>
      </w:pPr>
      <w:r>
        <w:rPr>
          <w:rFonts w:hint="eastAsia" w:ascii="微软雅黑" w:hAnsi="微软雅黑" w:eastAsia="微软雅黑" w:cs="微软雅黑"/>
        </w:rPr>
        <w:t>上传成功后进入 Step 2 数据提取流程</w:t>
      </w:r>
    </w:p>
    <w:p w14:paraId="429D924D">
      <w:pPr>
        <w:rPr>
          <w:rFonts w:hint="eastAsia" w:ascii="微软雅黑" w:hAnsi="微软雅黑" w:eastAsia="微软雅黑" w:cs="微软雅黑"/>
          <w:lang w:eastAsia="zh-CN"/>
        </w:rPr>
      </w:pPr>
      <w:r>
        <w:rPr>
          <w:rFonts w:hint="eastAsia" w:ascii="微软雅黑" w:hAnsi="微软雅黑" w:eastAsia="微软雅黑" w:cs="微软雅黑"/>
          <w:b/>
          <w:bCs/>
          <w:color w:val="FF0000"/>
          <w:lang w:val="en-US" w:eastAsia="zh-CN"/>
        </w:rPr>
        <w:t>7.</w:t>
      </w:r>
      <w:r>
        <w:rPr>
          <w:rFonts w:hint="eastAsia" w:ascii="微软雅黑" w:hAnsi="微软雅黑" w:eastAsia="微软雅黑" w:cs="微软雅黑"/>
          <w:b/>
          <w:bCs/>
          <w:color w:val="FF0000"/>
        </w:rPr>
        <w:t>UX/UI 要求</w:t>
      </w:r>
      <w:r>
        <w:rPr>
          <w:rFonts w:hint="eastAsia" w:ascii="微软雅黑" w:hAnsi="微软雅黑" w:eastAsia="微软雅黑" w:cs="微软雅黑"/>
          <w:b/>
          <w:bCs/>
          <w:color w:val="FF0000"/>
          <w:lang w:eastAsia="zh-CN"/>
        </w:rPr>
        <w:t>（</w:t>
      </w:r>
      <w:r>
        <w:rPr>
          <w:rFonts w:hint="eastAsia" w:ascii="微软雅黑" w:hAnsi="微软雅黑" w:eastAsia="微软雅黑" w:cs="微软雅黑"/>
          <w:b/>
          <w:bCs/>
          <w:color w:val="FF0000"/>
          <w:lang w:val="en-US" w:eastAsia="zh-CN"/>
        </w:rPr>
        <w:t>Ticket中包含的要求</w:t>
      </w:r>
      <w:r>
        <w:rPr>
          <w:rFonts w:hint="eastAsia" w:ascii="微软雅黑" w:hAnsi="微软雅黑" w:eastAsia="微软雅黑" w:cs="微软雅黑"/>
          <w:b/>
          <w:bCs/>
          <w:color w:val="FF0000"/>
          <w:lang w:eastAsia="zh-CN"/>
        </w:rPr>
        <w:t>）</w:t>
      </w:r>
    </w:p>
    <w:p w14:paraId="34859B29">
      <w:pPr>
        <w:rPr>
          <w:rFonts w:hint="eastAsia" w:ascii="微软雅黑" w:hAnsi="微软雅黑" w:eastAsia="微软雅黑" w:cs="微软雅黑"/>
        </w:rPr>
      </w:pPr>
      <w:r>
        <w:rPr>
          <w:rFonts w:hint="eastAsia" w:ascii="微软雅黑" w:hAnsi="微软雅黑" w:eastAsia="微软雅黑" w:cs="微软雅黑"/>
        </w:rPr>
        <w:t>桌面端</w:t>
      </w:r>
    </w:p>
    <w:p w14:paraId="02284699">
      <w:pPr>
        <w:rPr>
          <w:rFonts w:hint="eastAsia" w:ascii="微软雅黑" w:hAnsi="微软雅黑" w:eastAsia="微软雅黑" w:cs="微软雅黑"/>
        </w:rPr>
      </w:pPr>
      <w:r>
        <w:rPr>
          <w:rFonts w:hint="eastAsia" w:ascii="微软雅黑" w:hAnsi="微软雅黑" w:eastAsia="微软雅黑" w:cs="微软雅黑"/>
        </w:rPr>
        <w:t>- 大面积拖拽区域，虚线边框</w:t>
      </w:r>
    </w:p>
    <w:p w14:paraId="03C8B823">
      <w:pPr>
        <w:rPr>
          <w:rFonts w:hint="eastAsia" w:ascii="微软雅黑" w:hAnsi="微软雅黑" w:eastAsia="微软雅黑" w:cs="微软雅黑"/>
        </w:rPr>
      </w:pPr>
      <w:r>
        <w:rPr>
          <w:rFonts w:hint="eastAsia" w:ascii="微软雅黑" w:hAnsi="微软雅黑" w:eastAsia="微软雅黑" w:cs="微软雅黑"/>
        </w:rPr>
        <w:t>- 拖拽文件悬停时边框高亮</w:t>
      </w:r>
    </w:p>
    <w:p w14:paraId="3D3C8F08">
      <w:pPr>
        <w:rPr>
          <w:rFonts w:hint="eastAsia" w:ascii="微软雅黑" w:hAnsi="微软雅黑" w:eastAsia="微软雅黑" w:cs="微软雅黑"/>
        </w:rPr>
      </w:pPr>
      <w:r>
        <w:rPr>
          <w:rFonts w:hint="eastAsia" w:ascii="微软雅黑" w:hAnsi="微软雅黑" w:eastAsia="微软雅黑" w:cs="微软雅黑"/>
        </w:rPr>
        <w:t>- 拖拽区域内显示 PDF/XLSX/图片图标</w:t>
      </w:r>
    </w:p>
    <w:p w14:paraId="2C1AB04F">
      <w:pPr>
        <w:rPr>
          <w:rFonts w:hint="eastAsia" w:ascii="微软雅黑" w:hAnsi="微软雅黑" w:eastAsia="微软雅黑" w:cs="微软雅黑"/>
        </w:rPr>
      </w:pPr>
      <w:r>
        <w:rPr>
          <w:rFonts w:hint="eastAsia" w:ascii="微软雅黑" w:hAnsi="微软雅黑" w:eastAsia="微软雅黑" w:cs="微软雅黑"/>
        </w:rPr>
        <w:t>- 标题文案："Upload financial documents"</w:t>
      </w:r>
    </w:p>
    <w:p w14:paraId="7C0AEC23">
      <w:pPr>
        <w:rPr>
          <w:rFonts w:hint="eastAsia" w:ascii="微软雅黑" w:hAnsi="微软雅黑" w:eastAsia="微软雅黑" w:cs="微软雅黑"/>
        </w:rPr>
      </w:pPr>
      <w:r>
        <w:rPr>
          <w:rFonts w:hint="eastAsia" w:ascii="微软雅黑" w:hAnsi="微软雅黑" w:eastAsia="微软雅黑" w:cs="微软雅黑"/>
        </w:rPr>
        <w:t>- 每个文件可通过小"X"图标移除</w:t>
      </w:r>
    </w:p>
    <w:p w14:paraId="23D4F1DE">
      <w:pPr>
        <w:rPr>
          <w:rFonts w:hint="eastAsia" w:ascii="微软雅黑" w:hAnsi="微软雅黑" w:eastAsia="微软雅黑" w:cs="微软雅黑"/>
        </w:rPr>
      </w:pPr>
      <w:r>
        <w:rPr>
          <w:rFonts w:hint="eastAsia" w:ascii="微软雅黑" w:hAnsi="微软雅黑" w:eastAsia="微软雅黑" w:cs="微软雅黑"/>
        </w:rPr>
        <w:t>移动端</w:t>
      </w:r>
    </w:p>
    <w:p w14:paraId="7225CA20">
      <w:pPr>
        <w:rPr>
          <w:rFonts w:hint="eastAsia" w:ascii="微软雅黑" w:hAnsi="微软雅黑" w:eastAsia="微软雅黑" w:cs="微软雅黑"/>
        </w:rPr>
      </w:pPr>
      <w:r>
        <w:rPr>
          <w:rFonts w:hint="eastAsia" w:ascii="微软雅黑" w:hAnsi="微软雅黑" w:eastAsia="微软雅黑" w:cs="微软雅黑"/>
        </w:rPr>
        <w:t>- 无拖拽功能</w:t>
      </w:r>
    </w:p>
    <w:p w14:paraId="6FE518AF">
      <w:pPr>
        <w:rPr>
          <w:rFonts w:hint="eastAsia" w:ascii="微软雅黑" w:hAnsi="微软雅黑" w:eastAsia="微软雅黑" w:cs="微软雅黑"/>
        </w:rPr>
      </w:pPr>
      <w:r>
        <w:rPr>
          <w:rFonts w:hint="eastAsia" w:ascii="微软雅黑" w:hAnsi="微软雅黑" w:eastAsia="微软雅黑" w:cs="微软雅黑"/>
        </w:rPr>
        <w:t>- 突出显示"Choose Files"按钮</w:t>
      </w:r>
    </w:p>
    <w:p w14:paraId="76F1E9DF">
      <w:pPr>
        <w:rPr>
          <w:rFonts w:hint="eastAsia" w:ascii="微软雅黑" w:hAnsi="微软雅黑" w:eastAsia="微软雅黑" w:cs="微软雅黑"/>
        </w:rPr>
      </w:pPr>
      <w:r>
        <w:rPr>
          <w:rFonts w:hint="eastAsia" w:ascii="微软雅黑" w:hAnsi="微软雅黑" w:eastAsia="微软雅黑" w:cs="微软雅黑"/>
        </w:rPr>
        <w:t>- 说明文案适配小屏幕</w:t>
      </w:r>
    </w:p>
    <w:p w14:paraId="0136C830">
      <w:pPr>
        <w:rPr>
          <w:rFonts w:hint="eastAsia" w:ascii="微软雅黑" w:hAnsi="微软雅黑" w:eastAsia="微软雅黑" w:cs="微软雅黑"/>
        </w:rPr>
      </w:pPr>
      <w:r>
        <w:rPr>
          <w:rFonts w:hint="eastAsia" w:ascii="微软雅黑" w:hAnsi="微软雅黑" w:eastAsia="微软雅黑" w:cs="微软雅黑"/>
        </w:rPr>
        <w:t>文件卡片（每个文件展示）</w:t>
      </w:r>
    </w:p>
    <w:p w14:paraId="12FE29B2">
      <w:pPr>
        <w:rPr>
          <w:rFonts w:hint="eastAsia" w:ascii="微软雅黑" w:hAnsi="微软雅黑" w:eastAsia="微软雅黑" w:cs="微软雅黑"/>
        </w:rPr>
      </w:pPr>
      <w:r>
        <w:rPr>
          <w:rFonts w:hint="eastAsia" w:ascii="微软雅黑" w:hAnsi="微软雅黑" w:eastAsia="微软雅黑" w:cs="微软雅黑"/>
        </w:rPr>
        <w:t>- 文件名</w:t>
      </w:r>
    </w:p>
    <w:p w14:paraId="6C063B3E">
      <w:pPr>
        <w:rPr>
          <w:rFonts w:hint="eastAsia" w:ascii="微软雅黑" w:hAnsi="微软雅黑" w:eastAsia="微软雅黑" w:cs="微软雅黑"/>
        </w:rPr>
      </w:pPr>
      <w:r>
        <w:rPr>
          <w:rFonts w:hint="eastAsia" w:ascii="微软雅黑" w:hAnsi="微软雅黑" w:eastAsia="微软雅黑" w:cs="微软雅黑"/>
        </w:rPr>
        <w:t>- 文件类型</w:t>
      </w:r>
    </w:p>
    <w:p w14:paraId="30A9E422">
      <w:pPr>
        <w:rPr>
          <w:rFonts w:hint="eastAsia" w:ascii="微软雅黑" w:hAnsi="微软雅黑" w:eastAsia="微软雅黑" w:cs="微软雅黑"/>
        </w:rPr>
      </w:pPr>
      <w:r>
        <w:rPr>
          <w:rFonts w:hint="eastAsia" w:ascii="微软雅黑" w:hAnsi="微软雅黑" w:eastAsia="微软雅黑" w:cs="微软雅黑"/>
        </w:rPr>
        <w:t>- 文件大小</w:t>
      </w:r>
    </w:p>
    <w:p w14:paraId="31776F40">
      <w:pPr>
        <w:rPr>
          <w:rFonts w:hint="eastAsia" w:ascii="微软雅黑" w:hAnsi="微软雅黑" w:eastAsia="微软雅黑" w:cs="微软雅黑"/>
        </w:rPr>
      </w:pPr>
      <w:r>
        <w:rPr>
          <w:rFonts w:hint="eastAsia" w:ascii="微软雅黑" w:hAnsi="微软雅黑" w:eastAsia="微软雅黑" w:cs="微软雅黑"/>
        </w:rPr>
        <w:t>- 图片/PDF 缩略图</w:t>
      </w:r>
    </w:p>
    <w:p w14:paraId="1A0DD45D">
      <w:pPr>
        <w:rPr>
          <w:rFonts w:hint="eastAsia" w:ascii="微软雅黑" w:hAnsi="微软雅黑" w:eastAsia="微软雅黑" w:cs="微软雅黑"/>
        </w:rPr>
      </w:pPr>
      <w:r>
        <w:rPr>
          <w:rFonts w:hint="eastAsia" w:ascii="微软雅黑" w:hAnsi="微软雅黑" w:eastAsia="微软雅黑" w:cs="微软雅黑"/>
        </w:rPr>
        <w:t>- 进度条</w:t>
      </w:r>
    </w:p>
    <w:p w14:paraId="30422416">
      <w:pPr>
        <w:rPr>
          <w:rFonts w:hint="eastAsia" w:ascii="微软雅黑" w:hAnsi="微软雅黑" w:eastAsia="微软雅黑" w:cs="微软雅黑"/>
        </w:rPr>
      </w:pPr>
      <w:r>
        <w:rPr>
          <w:rFonts w:hint="eastAsia" w:ascii="微软雅黑" w:hAnsi="微软雅黑" w:eastAsia="微软雅黑" w:cs="微软雅黑"/>
        </w:rPr>
        <w:t>- 颜色编码的状态标签</w:t>
      </w:r>
    </w:p>
    <w:p w14:paraId="20BE38E5">
      <w:pPr>
        <w:rPr>
          <w:rFonts w:hint="eastAsia" w:ascii="微软雅黑" w:hAnsi="微软雅黑" w:eastAsia="微软雅黑" w:cs="微软雅黑"/>
        </w:rPr>
      </w:pPr>
      <w:r>
        <w:rPr>
          <w:rFonts w:hint="eastAsia" w:ascii="微软雅黑" w:hAnsi="微软雅黑" w:eastAsia="微软雅黑" w:cs="微软雅黑"/>
        </w:rPr>
        <w:t>- 操作按钮（移除 / 重试）</w:t>
      </w:r>
    </w:p>
    <w:p w14:paraId="1057B0C3">
      <w:pPr>
        <w:rPr>
          <w:rFonts w:hint="eastAsia" w:ascii="微软雅黑" w:hAnsi="微软雅黑" w:eastAsia="微软雅黑" w:cs="微软雅黑"/>
        </w:rPr>
      </w:pPr>
      <w:r>
        <w:rPr>
          <w:rFonts w:hint="eastAsia" w:ascii="微软雅黑" w:hAnsi="微软雅黑" w:eastAsia="微软雅黑" w:cs="微软雅黑"/>
        </w:rPr>
        <w:t>批量处理</w:t>
      </w:r>
    </w:p>
    <w:p w14:paraId="112706F8">
      <w:pPr>
        <w:rPr>
          <w:rFonts w:hint="eastAsia" w:ascii="微软雅黑" w:hAnsi="微软雅黑" w:eastAsia="微软雅黑" w:cs="微软雅黑"/>
        </w:rPr>
      </w:pPr>
      <w:r>
        <w:rPr>
          <w:rFonts w:hint="eastAsia" w:ascii="微软雅黑" w:hAnsi="微软雅黑" w:eastAsia="微软雅黑" w:cs="微软雅黑"/>
        </w:rPr>
        <w:t>- 多文件以纵向列表展示</w:t>
      </w:r>
    </w:p>
    <w:p w14:paraId="256DA47C">
      <w:pPr>
        <w:rPr>
          <w:rFonts w:hint="eastAsia" w:ascii="微软雅黑" w:hAnsi="微软雅黑" w:eastAsia="微软雅黑" w:cs="微软雅黑"/>
        </w:rPr>
      </w:pPr>
      <w:r>
        <w:rPr>
          <w:rFonts w:hint="eastAsia" w:ascii="微软雅黑" w:hAnsi="微软雅黑" w:eastAsia="微软雅黑" w:cs="微软雅黑"/>
        </w:rPr>
        <w:t>- Pending 状态的文件显示"Clear All"按钮</w:t>
      </w:r>
    </w:p>
    <w:p w14:paraId="0151DA7E">
      <w:pPr>
        <w:rPr>
          <w:rFonts w:hint="eastAsia" w:ascii="微软雅黑" w:hAnsi="微软雅黑" w:eastAsia="微软雅黑" w:cs="微软雅黑"/>
          <w:b/>
          <w:bCs/>
        </w:rPr>
      </w:pPr>
      <w:r>
        <w:rPr>
          <w:rFonts w:hint="eastAsia" w:ascii="微软雅黑" w:hAnsi="微软雅黑" w:eastAsia="微软雅黑" w:cs="微软雅黑"/>
          <w:b/>
          <w:bCs/>
          <w:lang w:val="en-US" w:eastAsia="zh-CN"/>
        </w:rPr>
        <w:t>#</w:t>
      </w:r>
      <w:r>
        <w:rPr>
          <w:rFonts w:hint="eastAsia" w:ascii="微软雅黑" w:hAnsi="微软雅黑" w:eastAsia="微软雅黑" w:cs="微软雅黑"/>
          <w:b/>
          <w:bCs/>
        </w:rPr>
        <w:t>Step 2: 数据提取（OCR / 直接解析）</w:t>
      </w:r>
    </w:p>
    <w:p w14:paraId="1B6870DC">
      <w:pPr>
        <w:rPr>
          <w:rFonts w:hint="eastAsia" w:ascii="微软雅黑" w:hAnsi="微软雅黑" w:eastAsia="微软雅黑" w:cs="微软雅黑"/>
          <w:b/>
          <w:bCs/>
          <w:sz w:val="21"/>
          <w:szCs w:val="24"/>
        </w:rPr>
      </w:pPr>
      <w:r>
        <w:rPr>
          <w:rFonts w:hint="eastAsia" w:ascii="微软雅黑" w:hAnsi="微软雅黑" w:eastAsia="微软雅黑" w:cs="微软雅黑"/>
          <w:b/>
          <w:bCs/>
          <w:sz w:val="21"/>
          <w:szCs w:val="24"/>
        </w:rPr>
        <w:t>OCR</w:t>
      </w:r>
    </w:p>
    <w:p w14:paraId="2140D9C0">
      <w:pPr>
        <w:numPr>
          <w:ilvl w:val="0"/>
          <w:numId w:val="2"/>
        </w:num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OCR与表格提取</w:t>
      </w:r>
    </w:p>
    <w:p w14:paraId="2515E894">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系统必须检测并处理：图片型PDF、扫描PDF、独立图片文件（JPG、PNG）</w:t>
      </w:r>
    </w:p>
    <w:p w14:paraId="65CD52D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支持多页文档</w:t>
      </w:r>
    </w:p>
    <w:p w14:paraId="4A757CDE">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自动识别包含财务表格的页面</w:t>
      </w:r>
    </w:p>
    <w:p w14:paraId="54615493">
      <w:pPr>
        <w:rPr>
          <w:rFonts w:hint="default" w:ascii="微软雅黑" w:hAnsi="微软雅黑" w:eastAsia="微软雅黑" w:cs="微软雅黑"/>
          <w:b w:val="0"/>
          <w:bCs w:val="0"/>
          <w:sz w:val="21"/>
          <w:szCs w:val="24"/>
          <w:woUserID w:val="1"/>
        </w:rPr>
      </w:pPr>
      <w:r>
        <w:rPr>
          <w:rFonts w:hint="eastAsia" w:ascii="微软雅黑" w:hAnsi="微软雅黑" w:eastAsia="微软雅黑" w:cs="微软雅黑"/>
          <w:b w:val="0"/>
          <w:bCs w:val="0"/>
          <w:sz w:val="21"/>
          <w:szCs w:val="24"/>
        </w:rPr>
        <w:t>无可提取财务内容的页面须跳过并记</w:t>
      </w:r>
      <w:r>
        <w:rPr>
          <w:rFonts w:hint="default" w:ascii="微软雅黑" w:hAnsi="微软雅黑" w:eastAsia="微软雅黑" w:cs="微软雅黑"/>
          <w:b w:val="0"/>
          <w:bCs w:val="0"/>
          <w:sz w:val="21"/>
          <w:szCs w:val="24"/>
          <w:woUserID w:val="1"/>
        </w:rPr>
        <w:t>录，源文件显示，右侧提示</w:t>
      </w:r>
    </w:p>
    <w:p w14:paraId="41C888BE">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表格提取须处理以下情况：无边框、布局倾斜/旋转、格式不一致</w:t>
      </w:r>
    </w:p>
    <w:p w14:paraId="2A8A898A">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准确捕获无公式的数值</w:t>
      </w:r>
    </w:p>
    <w:p w14:paraId="23B4462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正确解释：负数、小数、百分比、货币符号</w:t>
      </w:r>
    </w:p>
    <w:p w14:paraId="3793DBAF">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表头行和子表头须与正确的数据行关联</w:t>
      </w:r>
    </w:p>
    <w:p w14:paraId="0F0209F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lang w:val="en-US" w:eastAsia="zh-CN"/>
        </w:rPr>
        <w:t>二</w:t>
      </w:r>
      <w:r>
        <w:rPr>
          <w:rFonts w:hint="eastAsia" w:ascii="微软雅黑" w:hAnsi="微软雅黑" w:eastAsia="微软雅黑" w:cs="微软雅黑"/>
          <w:b w:val="0"/>
          <w:bCs w:val="0"/>
          <w:sz w:val="21"/>
          <w:szCs w:val="24"/>
        </w:rPr>
        <w:t>、提取数据的两种呈现模式</w:t>
      </w:r>
    </w:p>
    <w:p w14:paraId="044E97F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原始提取行项目（从源文档检测到的原样）</w:t>
      </w:r>
    </w:p>
    <w:p w14:paraId="54EBCD5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标准化视图，映射到LG财务类别（尽力映射，可供审查）</w:t>
      </w:r>
    </w:p>
    <w:p w14:paraId="62439F4F">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lang w:val="en-US" w:eastAsia="zh-CN"/>
        </w:rPr>
        <w:t>三</w:t>
      </w:r>
      <w:r>
        <w:rPr>
          <w:rFonts w:hint="eastAsia" w:ascii="微软雅黑" w:hAnsi="微软雅黑" w:eastAsia="微软雅黑" w:cs="微软雅黑"/>
          <w:b w:val="0"/>
          <w:bCs w:val="0"/>
          <w:sz w:val="21"/>
          <w:szCs w:val="24"/>
        </w:rPr>
        <w:t>、源文档引用</w:t>
      </w:r>
    </w:p>
    <w:p w14:paraId="0020031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每个提取值必须保留对源文档的直接引用（页码、</w:t>
      </w:r>
      <w:r>
        <w:rPr>
          <w:rFonts w:hint="default" w:ascii="微软雅黑" w:hAnsi="微软雅黑" w:eastAsia="微软雅黑" w:cs="微软雅黑"/>
          <w:b w:val="0"/>
          <w:bCs w:val="0"/>
          <w:sz w:val="21"/>
          <w:szCs w:val="24"/>
          <w:woUserID w:val="1"/>
        </w:rPr>
        <w:t>表格</w:t>
      </w:r>
      <w:r>
        <w:rPr>
          <w:rFonts w:hint="eastAsia" w:ascii="微软雅黑" w:hAnsi="微软雅黑" w:eastAsia="微软雅黑" w:cs="微软雅黑"/>
          <w:b w:val="0"/>
          <w:bCs w:val="0"/>
          <w:sz w:val="21"/>
          <w:szCs w:val="24"/>
        </w:rPr>
        <w:t>位置）</w:t>
      </w:r>
    </w:p>
    <w:p w14:paraId="59BD401D">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lang w:val="en-US" w:eastAsia="zh-CN"/>
        </w:rPr>
        <w:t>四</w:t>
      </w:r>
      <w:r>
        <w:rPr>
          <w:rFonts w:hint="eastAsia" w:ascii="微软雅黑" w:hAnsi="微软雅黑" w:eastAsia="微软雅黑" w:cs="微软雅黑"/>
          <w:b w:val="0"/>
          <w:bCs w:val="0"/>
          <w:sz w:val="21"/>
          <w:szCs w:val="24"/>
        </w:rPr>
        <w:t>、文档类型识别</w:t>
      </w:r>
    </w:p>
    <w:p w14:paraId="5EDAC9AA">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系统须将提取内容分类为以下之一：</w:t>
      </w:r>
    </w:p>
    <w:p w14:paraId="3D7F546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损益表 (P&amp;L / Income Statement)</w:t>
      </w:r>
    </w:p>
    <w:p w14:paraId="78E3F1A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资产负债表 (Balance Sheet)</w:t>
      </w:r>
    </w:p>
    <w:p w14:paraId="0F9D4F03">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现金流量表 (Cash Flow Statement)</w:t>
      </w:r>
    </w:p>
    <w:p w14:paraId="72DB4E1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预测表 (Proforma)</w:t>
      </w:r>
    </w:p>
    <w:p w14:paraId="0EEE0894">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财务摘要或杂项表格</w:t>
      </w:r>
    </w:p>
    <w:p w14:paraId="1E848013">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分类可使用：页面级关键词、表格结构模式、文档级上下文</w:t>
      </w:r>
    </w:p>
    <w:p w14:paraId="3130F9B4">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lang w:val="en-US" w:eastAsia="zh-CN"/>
        </w:rPr>
        <w:t>五</w:t>
      </w:r>
      <w:r>
        <w:rPr>
          <w:rFonts w:hint="eastAsia" w:ascii="微软雅黑" w:hAnsi="微软雅黑" w:eastAsia="微软雅黑" w:cs="微软雅黑"/>
          <w:b w:val="0"/>
          <w:bCs w:val="0"/>
          <w:sz w:val="21"/>
          <w:szCs w:val="24"/>
        </w:rPr>
        <w:t>、文档类型识别规则</w:t>
      </w:r>
    </w:p>
    <w:p w14:paraId="77EBD8AE">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Sheet名称关键词规则：</w:t>
      </w:r>
    </w:p>
    <w:p w14:paraId="06868CE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P&amp;L / Income / Profit → 损益表</w:t>
      </w:r>
    </w:p>
    <w:p w14:paraId="65E9BC63">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Balance / Assets / Liabilities → 资产负债表</w:t>
      </w:r>
    </w:p>
    <w:p w14:paraId="0D29454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Cash Flow / Cashflow → 现金流量表</w:t>
      </w:r>
    </w:p>
    <w:p w14:paraId="41374DD9">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Forecast / Proforma / Projection → 预测表</w:t>
      </w:r>
    </w:p>
    <w:p w14:paraId="736289A4">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行标签模式规则：</w:t>
      </w:r>
    </w:p>
    <w:p w14:paraId="26A23F6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损益表指标：Revenue, COGS, Gross Margin, EBITDA, Net Income</w:t>
      </w:r>
    </w:p>
    <w:p w14:paraId="3F304C63">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资产负债表指标：Assets, Liabilities, Equity, Cash, Debt</w:t>
      </w:r>
    </w:p>
    <w:p w14:paraId="7A07C01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现金流量表指标：Operating Activities, Investing Activities, Financing Activities</w:t>
      </w:r>
    </w:p>
    <w:p w14:paraId="2CB8B6BF">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结构性线索：</w:t>
      </w:r>
    </w:p>
    <w:p w14:paraId="6126478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资产负债表：Assets = Liabilities + Equity</w:t>
      </w:r>
    </w:p>
    <w:p w14:paraId="0E37DB8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现金流量表：有期初/期末现金</w:t>
      </w:r>
    </w:p>
    <w:p w14:paraId="1171A6D4">
      <w:pPr>
        <w:ind w:firstLine="420"/>
        <w:rPr>
          <w:rFonts w:hint="eastAsia" w:ascii="微软雅黑" w:hAnsi="微软雅黑" w:eastAsia="微软雅黑" w:cs="微软雅黑"/>
          <w:b w:val="0"/>
          <w:bCs w:val="0"/>
          <w:color w:val="91ACE0" w:themeColor="accent1" w:themeTint="99"/>
          <w:sz w:val="21"/>
          <w:szCs w:val="24"/>
          <w:lang w:eastAsia="zh-CN"/>
          <w14:textFill>
            <w14:solidFill>
              <w14:schemeClr w14:val="accent1">
                <w14:lumMod w14:val="60000"/>
                <w14:lumOff w14:val="40000"/>
              </w14:schemeClr>
            </w14:solidFill>
          </w14:textFill>
        </w:rPr>
      </w:pPr>
      <w:r>
        <w:rPr>
          <w:rFonts w:hint="eastAsia" w:ascii="微软雅黑" w:hAnsi="微软雅黑" w:eastAsia="微软雅黑" w:cs="微软雅黑"/>
          <w:b w:val="0"/>
          <w:bCs w:val="0"/>
          <w:sz w:val="21"/>
          <w:szCs w:val="24"/>
        </w:rPr>
        <w:t>- 损益表：</w:t>
      </w:r>
      <w:r>
        <w:rPr>
          <w:rFonts w:hint="eastAsia" w:ascii="微软雅黑" w:hAnsi="微软雅黑" w:eastAsia="微软雅黑" w:cs="微软雅黑"/>
          <w:b w:val="0"/>
          <w:bCs w:val="0"/>
          <w:color w:val="000000" w:themeColor="text1"/>
          <w:sz w:val="21"/>
          <w:szCs w:val="24"/>
          <w14:textFill>
            <w14:solidFill>
              <w14:schemeClr w14:val="tx1"/>
            </w14:solidFill>
          </w14:textFill>
        </w:rPr>
        <w:t>基于</w:t>
      </w:r>
      <w:r>
        <w:rPr>
          <w:rFonts w:hint="eastAsia" w:ascii="微软雅黑" w:hAnsi="微软雅黑" w:eastAsia="微软雅黑" w:cs="微软雅黑"/>
          <w:b w:val="0"/>
          <w:bCs w:val="0"/>
          <w:color w:val="0000FF"/>
          <w:sz w:val="21"/>
          <w:szCs w:val="24"/>
        </w:rPr>
        <w:t>流量</w:t>
      </w:r>
      <w:r>
        <w:rPr>
          <w:rFonts w:hint="eastAsia" w:ascii="微软雅黑" w:hAnsi="微软雅黑" w:eastAsia="微软雅黑" w:cs="微软雅黑"/>
          <w:b w:val="0"/>
          <w:bCs w:val="0"/>
          <w:color w:val="000000" w:themeColor="text1"/>
          <w:sz w:val="21"/>
          <w:szCs w:val="24"/>
          <w14:textFill>
            <w14:solidFill>
              <w14:schemeClr w14:val="tx1"/>
            </w14:solidFill>
          </w14:textFill>
        </w:rPr>
        <w:t>概念</w:t>
      </w:r>
      <w:r>
        <w:rPr>
          <w:rFonts w:hint="eastAsia" w:ascii="微软雅黑" w:hAnsi="微软雅黑" w:eastAsia="微软雅黑" w:cs="微软雅黑"/>
          <w:b w:val="0"/>
          <w:bCs w:val="0"/>
          <w:sz w:val="21"/>
          <w:szCs w:val="24"/>
        </w:rPr>
        <w:t>，按期列示各项总额</w:t>
      </w:r>
      <w:r>
        <w:rPr>
          <w:rFonts w:hint="eastAsia" w:ascii="微软雅黑" w:hAnsi="微软雅黑" w:eastAsia="微软雅黑" w:cs="微软雅黑"/>
          <w:b w:val="0"/>
          <w:bCs w:val="0"/>
          <w:sz w:val="21"/>
          <w:szCs w:val="24"/>
          <w:lang w:eastAsia="zh-CN"/>
        </w:rPr>
        <w:t>。</w:t>
      </w:r>
      <w:r>
        <w:rPr>
          <w:rFonts w:hint="eastAsia" w:ascii="微软雅黑" w:hAnsi="微软雅黑" w:eastAsia="微软雅黑" w:cs="微软雅黑"/>
          <w:b w:val="0"/>
          <w:bCs w:val="0"/>
          <w:color w:val="91ACE0" w:themeColor="accent1" w:themeTint="99"/>
          <w:sz w:val="21"/>
          <w:szCs w:val="24"/>
          <w:lang w:eastAsia="zh-CN"/>
          <w14:textFill>
            <w14:solidFill>
              <w14:schemeClr w14:val="accent1">
                <w14:lumMod w14:val="60000"/>
                <w14:lumOff w14:val="40000"/>
              </w14:schemeClr>
            </w14:solidFill>
          </w14:textFill>
        </w:rPr>
        <w:t>“基于流量概念，按期列示各项总额”就是指损益表反映的是企业在某个具体时间段内的收入、支出和利润等</w:t>
      </w:r>
      <w:r>
        <w:rPr>
          <w:rFonts w:hint="eastAsia" w:ascii="微软雅黑" w:hAnsi="微软雅黑" w:eastAsia="微软雅黑" w:cs="微软雅黑"/>
          <w:b w:val="0"/>
          <w:bCs w:val="0"/>
          <w:color w:val="2E54A1" w:themeColor="accent1" w:themeShade="BF"/>
          <w:sz w:val="21"/>
          <w:szCs w:val="24"/>
          <w:lang w:eastAsia="zh-CN"/>
        </w:rPr>
        <w:t>流动数据</w:t>
      </w:r>
      <w:r>
        <w:rPr>
          <w:rFonts w:hint="eastAsia" w:ascii="微软雅黑" w:hAnsi="微软雅黑" w:eastAsia="微软雅黑" w:cs="微软雅黑"/>
          <w:b w:val="0"/>
          <w:bCs w:val="0"/>
          <w:color w:val="91ACE0" w:themeColor="accent1" w:themeTint="99"/>
          <w:sz w:val="21"/>
          <w:szCs w:val="24"/>
          <w:lang w:eastAsia="zh-CN"/>
          <w14:textFill>
            <w14:solidFill>
              <w14:schemeClr w14:val="accent1">
                <w14:lumMod w14:val="60000"/>
                <w14:lumOff w14:val="40000"/>
              </w14:schemeClr>
            </w14:solidFill>
          </w14:textFill>
        </w:rPr>
        <w:t>，这些数据与“存量”概念（资产负债表）有所区别，重点是关注一段时间内的经营活动如何影响财务结果。举个例子：</w:t>
      </w:r>
    </w:p>
    <w:p w14:paraId="54FF769C">
      <w:pPr>
        <w:rPr>
          <w:rFonts w:hint="eastAsia" w:ascii="微软雅黑" w:hAnsi="微软雅黑" w:eastAsia="微软雅黑" w:cs="微软雅黑"/>
          <w:b w:val="0"/>
          <w:bCs w:val="0"/>
          <w:color w:val="91ACE0" w:themeColor="accent1" w:themeTint="99"/>
          <w:sz w:val="21"/>
          <w:szCs w:val="24"/>
          <w:lang w:eastAsia="zh-CN"/>
          <w14:textFill>
            <w14:solidFill>
              <w14:schemeClr w14:val="accent1">
                <w14:lumMod w14:val="60000"/>
                <w14:lumOff w14:val="40000"/>
              </w14:schemeClr>
            </w14:solidFill>
          </w14:textFill>
        </w:rPr>
      </w:pPr>
      <w:bookmarkStart w:id="0" w:name="_GoBack"/>
      <w:bookmarkEnd w:id="0"/>
      <w:r>
        <w:rPr>
          <w:rFonts w:hint="eastAsia" w:ascii="微软雅黑" w:hAnsi="微软雅黑" w:eastAsia="微软雅黑" w:cs="微软雅黑"/>
          <w:b w:val="0"/>
          <w:bCs w:val="0"/>
          <w:color w:val="91ACE0" w:themeColor="accent1" w:themeTint="99"/>
          <w:sz w:val="21"/>
          <w:szCs w:val="24"/>
          <w:lang w:eastAsia="zh-CN"/>
          <w14:textFill>
            <w14:solidFill>
              <w14:schemeClr w14:val="accent1">
                <w14:lumMod w14:val="60000"/>
                <w14:lumOff w14:val="40000"/>
              </w14:schemeClr>
            </w14:solidFill>
          </w14:textFill>
        </w:rPr>
        <w:t>损益表：本期总营业收入为100万元，销货成本为60万元，毛利润为40万元，净利润为10万元。这里的“100万元营收”是流量，反映了这个时间段的销售情况，具有时间属性。</w:t>
      </w:r>
    </w:p>
    <w:p w14:paraId="28C154F4">
      <w:pPr>
        <w:rPr>
          <w:rFonts w:hint="eastAsia" w:ascii="微软雅黑" w:hAnsi="微软雅黑" w:eastAsia="微软雅黑" w:cs="微软雅黑"/>
          <w:b w:val="0"/>
          <w:bCs w:val="0"/>
          <w:color w:val="91ACE0" w:themeColor="accent1" w:themeTint="99"/>
          <w:sz w:val="21"/>
          <w:szCs w:val="24"/>
          <w:lang w:eastAsia="zh-CN"/>
          <w14:textFill>
            <w14:solidFill>
              <w14:schemeClr w14:val="accent1">
                <w14:lumMod w14:val="60000"/>
                <w14:lumOff w14:val="40000"/>
              </w14:schemeClr>
            </w14:solidFill>
          </w14:textFill>
        </w:rPr>
      </w:pPr>
      <w:r>
        <w:rPr>
          <w:rFonts w:hint="eastAsia" w:ascii="微软雅黑" w:hAnsi="微软雅黑" w:eastAsia="微软雅黑" w:cs="微软雅黑"/>
          <w:b w:val="0"/>
          <w:bCs w:val="0"/>
          <w:color w:val="91ACE0" w:themeColor="accent1" w:themeTint="99"/>
          <w:sz w:val="21"/>
          <w:szCs w:val="24"/>
          <w:lang w:eastAsia="zh-CN"/>
          <w14:textFill>
            <w14:solidFill>
              <w14:schemeClr w14:val="accent1">
                <w14:lumMod w14:val="60000"/>
                <w14:lumOff w14:val="40000"/>
              </w14:schemeClr>
            </w14:solidFill>
          </w14:textFill>
        </w:rPr>
        <w:t>资产负债表：期末总资产为500万元，负债300万元，所有者权益200万元。资产负债表更像是一个快照，它显示的是某一时点的“存量”，例如期末的现金、应收账款等。</w:t>
      </w:r>
    </w:p>
    <w:p w14:paraId="0E1E618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无法明确分类时，归类为"Financial Summary / Misc"并标记供用户确认</w:t>
      </w:r>
    </w:p>
    <w:p w14:paraId="7822DDCE">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多页财务文档包可能包含多种文档类型</w:t>
      </w:r>
    </w:p>
    <w:p w14:paraId="667A403D">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lang w:val="en-US" w:eastAsia="zh-CN"/>
        </w:rPr>
        <w:t>六、</w:t>
      </w:r>
      <w:r>
        <w:rPr>
          <w:rFonts w:hint="eastAsia" w:ascii="微软雅黑" w:hAnsi="微软雅黑" w:eastAsia="微软雅黑" w:cs="微软雅黑"/>
          <w:b w:val="0"/>
          <w:bCs w:val="0"/>
          <w:sz w:val="21"/>
          <w:szCs w:val="24"/>
        </w:rPr>
        <w:t>报告期间分配</w:t>
      </w:r>
    </w:p>
    <w:p w14:paraId="46028F1A">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系统按以下优先级分配报告期间：</w:t>
      </w:r>
    </w:p>
    <w:p w14:paraId="691D294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1. 列标题</w:t>
      </w:r>
    </w:p>
    <w:p w14:paraId="2BEA28D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2. Sheet名称</w:t>
      </w:r>
    </w:p>
    <w:p w14:paraId="05111E2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3. 表格标题或邻近文本</w:t>
      </w:r>
    </w:p>
    <w:p w14:paraId="096BF78F">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4. 文件名（兜底）</w:t>
      </w:r>
    </w:p>
    <w:p w14:paraId="2B9A4A0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lang w:val="en-US" w:eastAsia="zh-CN"/>
        </w:rPr>
        <w:t>七</w:t>
      </w:r>
      <w:r>
        <w:rPr>
          <w:rFonts w:hint="eastAsia" w:ascii="微软雅黑" w:hAnsi="微软雅黑" w:eastAsia="微软雅黑" w:cs="微软雅黑"/>
          <w:b w:val="0"/>
          <w:bCs w:val="0"/>
          <w:sz w:val="21"/>
          <w:szCs w:val="24"/>
        </w:rPr>
        <w:t>、进度与状态提示</w:t>
      </w:r>
    </w:p>
    <w:p w14:paraId="24DFE99D">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24. 需显示清晰的实时进度指示器："Processing document" → "Running OCR" → "Preparing review"</w:t>
      </w:r>
    </w:p>
    <w:p w14:paraId="58C07A2D">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w:t>
      </w:r>
      <w:r>
        <w:rPr>
          <w:rFonts w:hint="eastAsia" w:ascii="微软雅黑" w:hAnsi="微软雅黑" w:eastAsia="微软雅黑" w:cs="微软雅黑"/>
          <w:b w:val="0"/>
          <w:bCs w:val="0"/>
          <w:sz w:val="21"/>
          <w:szCs w:val="24"/>
          <w:lang w:val="en-US" w:eastAsia="zh-CN"/>
        </w:rPr>
        <w:t>5</w:t>
      </w:r>
      <w:r>
        <w:rPr>
          <w:rFonts w:hint="eastAsia" w:ascii="微软雅黑" w:hAnsi="微软雅黑" w:eastAsia="微软雅黑" w:cs="微软雅黑"/>
          <w:b w:val="0"/>
          <w:bCs w:val="0"/>
          <w:sz w:val="21"/>
          <w:szCs w:val="24"/>
        </w:rPr>
        <w:t>. 系统须在以下情况给出提示消息：未找到表格、OCR质量差</w:t>
      </w:r>
    </w:p>
    <w:p w14:paraId="718A5E68">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lang w:val="en-US" w:eastAsia="zh-CN"/>
        </w:rPr>
        <w:t>八</w:t>
      </w:r>
      <w:r>
        <w:rPr>
          <w:rFonts w:hint="eastAsia" w:ascii="微软雅黑" w:hAnsi="微软雅黑" w:eastAsia="微软雅黑" w:cs="微软雅黑"/>
          <w:b w:val="0"/>
          <w:bCs w:val="0"/>
          <w:sz w:val="21"/>
          <w:szCs w:val="24"/>
        </w:rPr>
        <w:t>、移动端响应</w:t>
      </w:r>
    </w:p>
    <w:p w14:paraId="41F28BEB">
      <w:pPr>
        <w:rPr>
          <w:rFonts w:hint="eastAsia" w:ascii="微软雅黑" w:hAnsi="微软雅黑" w:eastAsia="微软雅黑" w:cs="微软雅黑"/>
        </w:rPr>
      </w:pPr>
      <w:r>
        <w:rPr>
          <w:rFonts w:hint="eastAsia" w:ascii="微软雅黑" w:hAnsi="微软雅黑" w:eastAsia="微软雅黑" w:cs="微软雅黑"/>
          <w:b w:val="0"/>
          <w:bCs w:val="0"/>
          <w:sz w:val="21"/>
          <w:szCs w:val="24"/>
        </w:rPr>
        <w:t>28. 功能须移动端响应式，在桌面和移动设备上均完全可用</w:t>
      </w:r>
    </w:p>
    <w:p w14:paraId="7D02FA08">
      <w:pPr>
        <w:rPr>
          <w:rFonts w:hint="eastAsia" w:ascii="微软雅黑" w:hAnsi="微软雅黑" w:eastAsia="微软雅黑" w:cs="微软雅黑"/>
          <w:b/>
          <w:bCs/>
        </w:rPr>
      </w:pPr>
      <w:r>
        <w:rPr>
          <w:rFonts w:hint="eastAsia" w:ascii="微软雅黑" w:hAnsi="微软雅黑" w:eastAsia="微软雅黑" w:cs="微软雅黑"/>
          <w:b/>
          <w:bCs/>
        </w:rPr>
        <w:t>Excel 直接解析要求</w:t>
      </w:r>
    </w:p>
    <w:p w14:paraId="45F7EF4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一、文件检测与解析</w:t>
      </w:r>
    </w:p>
    <w:p w14:paraId="38EF525F">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 系统必须识别并处理 Excel (.xlsx) 和 CSV 格式文件</w:t>
      </w:r>
    </w:p>
    <w:p w14:paraId="0049DE8A">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 Excel 文件中的所有工作表</w:t>
      </w:r>
      <w:r>
        <w:rPr>
          <w:rFonts w:hint="eastAsia" w:ascii="微软雅黑" w:hAnsi="微软雅黑" w:eastAsia="微软雅黑" w:cs="微软雅黑"/>
          <w:b w:val="0"/>
          <w:bCs w:val="0"/>
          <w:sz w:val="21"/>
          <w:szCs w:val="24"/>
          <w:lang w:val="en-US" w:eastAsia="zh-CN"/>
        </w:rPr>
        <w:t>sheet</w:t>
      </w:r>
      <w:r>
        <w:rPr>
          <w:rFonts w:hint="eastAsia" w:ascii="微软雅黑" w:hAnsi="微软雅黑" w:eastAsia="微软雅黑" w:cs="微软雅黑"/>
          <w:b w:val="0"/>
          <w:bCs w:val="0"/>
          <w:sz w:val="21"/>
          <w:szCs w:val="24"/>
        </w:rPr>
        <w:t>都必须被扫描处理</w:t>
      </w:r>
    </w:p>
    <w:p w14:paraId="5B65342F">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3. 必须能处理以下复杂表格结构：</w:t>
      </w:r>
    </w:p>
    <w:p w14:paraId="367D27C9">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合并单元格</w:t>
      </w:r>
    </w:p>
    <w:p w14:paraId="6F4B1AE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多个数据区段（同一工作表内多张表）</w:t>
      </w:r>
    </w:p>
    <w:p w14:paraId="066DB00F">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间隔行/空白行</w:t>
      </w:r>
    </w:p>
    <w:p w14:paraId="3FDE449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4. 公式单元格必须捕获为计算后的值（非公式本身）</w:t>
      </w:r>
    </w:p>
    <w:p w14:paraId="7E406EC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二、数据提取</w:t>
      </w:r>
    </w:p>
    <w:p w14:paraId="13F4058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5. 提取内容必须包括：行标签、列标题、数值</w:t>
      </w:r>
    </w:p>
    <w:p w14:paraId="565DAA7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6. 必须正确保留：货币符号、百分比、负数格式</w:t>
      </w:r>
    </w:p>
    <w:p w14:paraId="231571B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7. 列标题中的日期需尽可能检测识别</w:t>
      </w:r>
    </w:p>
    <w:p w14:paraId="64E9B648">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三、文档类型识别（启发式）</w:t>
      </w:r>
    </w:p>
    <w:p w14:paraId="06F5383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8. 系统尝试使用以下依据进行文档分类：</w:t>
      </w:r>
    </w:p>
    <w:p w14:paraId="07BBFF5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工作表名称（如含"P&amp;L"→利润表，含"Balance"→资产负债表）</w:t>
      </w:r>
    </w:p>
    <w:p w14:paraId="25565A44">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行标签模式（如含 Revenue/EBITDA → 利润表，含 Assets/Liabilities → 资产负债表）</w:t>
      </w:r>
    </w:p>
    <w:p w14:paraId="64CCBA7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结构线索（如 资产 = 负债 + 权益 → 资产负债表）</w:t>
      </w:r>
    </w:p>
    <w:p w14:paraId="1B25738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9. 允许误分类，但必须标记以便用户审查确认</w:t>
      </w:r>
    </w:p>
    <w:p w14:paraId="58E837BD">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10. 无法分类时，归类为"财务汇总/杂项"</w:t>
      </w:r>
    </w:p>
    <w:p w14:paraId="568E8DE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四、报告周期推断</w:t>
      </w:r>
    </w:p>
    <w:p w14:paraId="7B4F85C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11. 系统按以下优先级推断报告周期：</w:t>
      </w:r>
    </w:p>
    <w:p w14:paraId="333531EF">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第一优先：列标题中的日期</w:t>
      </w:r>
    </w:p>
    <w:p w14:paraId="4606A373">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第二优先：工作表名称</w:t>
      </w:r>
    </w:p>
    <w:p w14:paraId="4399421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最后兜底：文件名</w:t>
      </w:r>
    </w:p>
    <w:p w14:paraId="789AA7D3">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五、结构化输出</w:t>
      </w:r>
    </w:p>
    <w:p w14:paraId="73ECBF8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12. 提取数据必须与 OCR 提取采用相同的内部数据格式</w:t>
      </w:r>
    </w:p>
    <w:p w14:paraId="6F8A9EC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13. 每条数据必须包含源引用信息：</w:t>
      </w:r>
    </w:p>
    <w:p w14:paraId="136E84D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文件名</w:t>
      </w:r>
    </w:p>
    <w:p w14:paraId="47AEE91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工作表名称</w:t>
      </w:r>
    </w:p>
    <w:p w14:paraId="61328E54">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单元格位置（如适用）</w:t>
      </w:r>
    </w:p>
    <w:p w14:paraId="6F5AC9F9">
      <w:pPr>
        <w:rPr>
          <w:rFonts w:hint="eastAsia" w:ascii="微软雅黑" w:hAnsi="微软雅黑" w:eastAsia="微软雅黑" w:cs="微软雅黑"/>
          <w:b/>
          <w:bCs/>
          <w:color w:val="FF0000"/>
          <w:sz w:val="21"/>
          <w:szCs w:val="24"/>
        </w:rPr>
      </w:pPr>
      <w:r>
        <w:rPr>
          <w:rFonts w:hint="eastAsia" w:ascii="微软雅黑" w:hAnsi="微软雅黑" w:eastAsia="微软雅黑" w:cs="微软雅黑"/>
          <w:b/>
          <w:bCs/>
          <w:color w:val="FF0000"/>
          <w:sz w:val="21"/>
          <w:szCs w:val="24"/>
        </w:rPr>
        <w:t>六、UX 与进度指示</w:t>
      </w:r>
      <w:r>
        <w:rPr>
          <w:rFonts w:hint="eastAsia" w:ascii="微软雅黑" w:hAnsi="微软雅黑" w:eastAsia="微软雅黑" w:cs="微软雅黑"/>
          <w:b/>
          <w:bCs/>
          <w:color w:val="FF0000"/>
          <w:lang w:eastAsia="zh-CN"/>
        </w:rPr>
        <w:t>（</w:t>
      </w:r>
      <w:r>
        <w:rPr>
          <w:rFonts w:hint="eastAsia" w:ascii="微软雅黑" w:hAnsi="微软雅黑" w:eastAsia="微软雅黑" w:cs="微软雅黑"/>
          <w:b/>
          <w:bCs/>
          <w:color w:val="FF0000"/>
          <w:lang w:val="en-US" w:eastAsia="zh-CN"/>
        </w:rPr>
        <w:t>Ticket中包含的要求</w:t>
      </w:r>
      <w:r>
        <w:rPr>
          <w:rFonts w:hint="eastAsia" w:ascii="微软雅黑" w:hAnsi="微软雅黑" w:eastAsia="微软雅黑" w:cs="微软雅黑"/>
          <w:b/>
          <w:bCs/>
          <w:color w:val="FF0000"/>
          <w:lang w:eastAsia="zh-CN"/>
        </w:rPr>
        <w:t>）</w:t>
      </w:r>
    </w:p>
    <w:p w14:paraId="04B4AE0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14. 必须显示实时进度指示器：</w:t>
      </w:r>
    </w:p>
    <w:p w14:paraId="3F07184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"正在处理文档"</w:t>
      </w:r>
    </w:p>
    <w:p w14:paraId="5FE95A2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"正在准备审查"</w:t>
      </w:r>
    </w:p>
    <w:p w14:paraId="77806A4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15. 提取过程中无需用户交互</w:t>
      </w:r>
    </w:p>
    <w:p w14:paraId="251BDE2F">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16. 系统消息提示场景：</w:t>
      </w:r>
    </w:p>
    <w:p w14:paraId="2363D689">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未找到任何表格时，显示友好提示</w:t>
      </w:r>
    </w:p>
    <w:p w14:paraId="6DE4E9D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17. 本步骤不包含任何内联编辑功能</w:t>
      </w:r>
    </w:p>
    <w:p w14:paraId="4945B5A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七、移动响应式</w:t>
      </w:r>
    </w:p>
    <w:p w14:paraId="5DE5114E">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18. 所有功能在桌面和移动设备上完全可用</w:t>
      </w:r>
    </w:p>
    <w:p w14:paraId="52BE4AC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19. 界面布局必须自适应不同屏幕尺寸</w:t>
      </w:r>
    </w:p>
    <w:p w14:paraId="318CEE88">
      <w:pPr>
        <w:rPr>
          <w:rFonts w:hint="eastAsia" w:ascii="微软雅黑" w:hAnsi="微软雅黑" w:eastAsia="微软雅黑" w:cs="微软雅黑"/>
          <w:b/>
          <w:bCs/>
          <w:sz w:val="21"/>
          <w:szCs w:val="24"/>
        </w:rPr>
      </w:pPr>
      <w:r>
        <w:rPr>
          <w:rFonts w:hint="eastAsia" w:ascii="微软雅黑" w:hAnsi="微软雅黑" w:eastAsia="微软雅黑" w:cs="微软雅黑"/>
          <w:b/>
          <w:bCs/>
          <w:sz w:val="21"/>
          <w:szCs w:val="24"/>
          <w:lang w:val="en-US" w:eastAsia="zh-CN"/>
        </w:rPr>
        <w:t>#</w:t>
      </w:r>
      <w:r>
        <w:rPr>
          <w:rFonts w:hint="eastAsia" w:ascii="微软雅黑" w:hAnsi="微软雅黑" w:eastAsia="微软雅黑" w:cs="微软雅黑"/>
          <w:b/>
          <w:bCs/>
          <w:sz w:val="21"/>
          <w:szCs w:val="24"/>
        </w:rPr>
        <w:t xml:space="preserve">Step </w:t>
      </w:r>
      <w:r>
        <w:rPr>
          <w:rFonts w:hint="eastAsia" w:ascii="微软雅黑" w:hAnsi="微软雅黑" w:eastAsia="微软雅黑" w:cs="微软雅黑"/>
          <w:b/>
          <w:bCs/>
          <w:sz w:val="21"/>
          <w:szCs w:val="24"/>
          <w:lang w:val="en-US" w:eastAsia="zh-CN"/>
        </w:rPr>
        <w:t>3</w:t>
      </w:r>
      <w:r>
        <w:rPr>
          <w:rFonts w:hint="eastAsia" w:ascii="微软雅黑" w:hAnsi="微软雅黑" w:eastAsia="微软雅黑" w:cs="微软雅黑"/>
          <w:b/>
          <w:bCs/>
          <w:sz w:val="21"/>
          <w:szCs w:val="24"/>
        </w:rPr>
        <w:t xml:space="preserve">: 并排审查与内联编辑 </w:t>
      </w:r>
    </w:p>
    <w:p w14:paraId="545EC1C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一、触发与流程定位</w:t>
      </w:r>
    </w:p>
    <w:p w14:paraId="1D5E0D14">
      <w:pPr>
        <w:rPr>
          <w:rFonts w:hint="default" w:ascii="微软雅黑" w:hAnsi="微软雅黑" w:eastAsia="微软雅黑" w:cs="微软雅黑"/>
          <w:b w:val="0"/>
          <w:bCs w:val="0"/>
          <w:sz w:val="21"/>
          <w:szCs w:val="24"/>
          <w:lang w:val="en-US" w:eastAsia="zh-CN"/>
        </w:rPr>
      </w:pPr>
      <w:r>
        <w:rPr>
          <w:rFonts w:hint="eastAsia" w:ascii="微软雅黑" w:hAnsi="微软雅黑" w:eastAsia="微软雅黑" w:cs="微软雅黑"/>
          <w:b w:val="0"/>
          <w:bCs w:val="0"/>
          <w:sz w:val="21"/>
          <w:szCs w:val="24"/>
        </w:rPr>
        <w:t xml:space="preserve">1. 本步骤是文档上传工作流的 Step </w:t>
      </w:r>
      <w:r>
        <w:rPr>
          <w:rFonts w:hint="eastAsia" w:ascii="微软雅黑" w:hAnsi="微软雅黑" w:eastAsia="微软雅黑" w:cs="微软雅黑"/>
          <w:b w:val="0"/>
          <w:bCs w:val="0"/>
          <w:sz w:val="21"/>
          <w:szCs w:val="24"/>
          <w:lang w:val="en-US" w:eastAsia="zh-CN"/>
        </w:rPr>
        <w:t>3</w:t>
      </w:r>
      <w:r>
        <w:rPr>
          <w:rFonts w:hint="eastAsia" w:ascii="微软雅黑" w:hAnsi="微软雅黑" w:eastAsia="微软雅黑" w:cs="微软雅黑"/>
          <w:b w:val="0"/>
          <w:bCs w:val="0"/>
          <w:sz w:val="21"/>
          <w:szCs w:val="24"/>
        </w:rPr>
        <w:t>，在</w:t>
      </w:r>
      <w:r>
        <w:rPr>
          <w:rFonts w:hint="eastAsia" w:ascii="微软雅黑" w:hAnsi="微软雅黑" w:eastAsia="微软雅黑" w:cs="微软雅黑"/>
          <w:b w:val="0"/>
          <w:bCs w:val="0"/>
          <w:sz w:val="21"/>
          <w:szCs w:val="24"/>
          <w:lang w:val="en-US" w:eastAsia="zh-CN"/>
        </w:rPr>
        <w:t>OCR/解析后进行</w:t>
      </w:r>
    </w:p>
    <w:p w14:paraId="682DBA2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 这是用户在数据提交前验证和修正提取数据的核心环节</w:t>
      </w:r>
    </w:p>
    <w:p w14:paraId="45C9EA2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3. 这是核心 MVP 功能</w:t>
      </w:r>
    </w:p>
    <w:p w14:paraId="6D397A91">
      <w:pPr>
        <w:rPr>
          <w:rFonts w:hint="eastAsia" w:ascii="微软雅黑" w:hAnsi="微软雅黑" w:eastAsia="微软雅黑" w:cs="微软雅黑"/>
          <w:b w:val="0"/>
          <w:bCs w:val="0"/>
          <w:color w:val="000000" w:themeColor="text1"/>
          <w:sz w:val="21"/>
          <w:szCs w:val="24"/>
          <w14:textFill>
            <w14:solidFill>
              <w14:schemeClr w14:val="tx1"/>
            </w14:solidFill>
          </w14:textFill>
        </w:rPr>
      </w:pPr>
      <w:r>
        <w:rPr>
          <w:rFonts w:hint="eastAsia" w:ascii="微软雅黑" w:hAnsi="微软雅黑" w:eastAsia="微软雅黑" w:cs="微软雅黑"/>
          <w:b w:val="0"/>
          <w:bCs w:val="0"/>
          <w:color w:val="000000" w:themeColor="text1"/>
          <w:sz w:val="21"/>
          <w:szCs w:val="24"/>
          <w14:textFill>
            <w14:solidFill>
              <w14:schemeClr w14:val="tx1"/>
            </w14:solidFill>
          </w14:textFill>
        </w:rPr>
        <w:t>二、并排布局</w:t>
      </w:r>
    </w:p>
    <w:p w14:paraId="03114107">
      <w:pPr>
        <w:rPr>
          <w:rFonts w:hint="eastAsia" w:ascii="微软雅黑" w:hAnsi="微软雅黑" w:eastAsia="微软雅黑" w:cs="微软雅黑"/>
          <w:b w:val="0"/>
          <w:bCs w:val="0"/>
          <w:color w:val="000000" w:themeColor="text1"/>
          <w:sz w:val="21"/>
          <w:szCs w:val="24"/>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1"/>
          <w:szCs w:val="24"/>
          <w14:textFill>
            <w14:solidFill>
              <w14:schemeClr w14:val="tx1"/>
            </w14:solidFill>
          </w14:textFill>
        </w:rPr>
        <w:t>4. 左侧面板显示</w:t>
      </w:r>
      <w:r>
        <w:rPr>
          <w:rFonts w:hint="eastAsia" w:ascii="微软雅黑" w:hAnsi="微软雅黑" w:eastAsia="微软雅黑" w:cs="微软雅黑"/>
          <w:b w:val="0"/>
          <w:bCs w:val="0"/>
          <w:color w:val="000000" w:themeColor="text1"/>
          <w:sz w:val="21"/>
          <w:szCs w:val="24"/>
          <w:lang w:val="en-US" w:eastAsia="zh-CN"/>
          <w14:textFill>
            <w14:solidFill>
              <w14:schemeClr w14:val="tx1"/>
            </w14:solidFill>
          </w14:textFill>
        </w:rPr>
        <w:t>原始</w:t>
      </w:r>
      <w:r>
        <w:rPr>
          <w:rFonts w:hint="eastAsia" w:ascii="微软雅黑" w:hAnsi="微软雅黑" w:eastAsia="微软雅黑" w:cs="微软雅黑"/>
          <w:b w:val="0"/>
          <w:bCs w:val="0"/>
          <w:color w:val="000000" w:themeColor="text1"/>
          <w:sz w:val="21"/>
          <w:szCs w:val="24"/>
          <w14:textFill>
            <w14:solidFill>
              <w14:schemeClr w14:val="tx1"/>
            </w14:solidFill>
          </w14:textFill>
        </w:rPr>
        <w:t>文</w:t>
      </w:r>
      <w:r>
        <w:rPr>
          <w:rFonts w:hint="eastAsia" w:ascii="微软雅黑" w:hAnsi="微软雅黑" w:eastAsia="微软雅黑" w:cs="微软雅黑"/>
          <w:b w:val="0"/>
          <w:bCs w:val="0"/>
          <w:color w:val="000000" w:themeColor="text1"/>
          <w:sz w:val="21"/>
          <w:szCs w:val="24"/>
          <w:lang w:val="en-US" w:eastAsia="zh-CN"/>
          <w14:textFill>
            <w14:solidFill>
              <w14:schemeClr w14:val="tx1"/>
            </w14:solidFill>
          </w14:textFill>
        </w:rPr>
        <w:t>档</w:t>
      </w:r>
    </w:p>
    <w:p w14:paraId="3AAF0C3E">
      <w:pPr>
        <w:rPr>
          <w:rFonts w:hint="eastAsia" w:ascii="微软雅黑" w:hAnsi="微软雅黑" w:eastAsia="微软雅黑" w:cs="微软雅黑"/>
          <w:b w:val="0"/>
          <w:bCs w:val="0"/>
          <w:color w:val="000000" w:themeColor="text1"/>
          <w:sz w:val="21"/>
          <w:szCs w:val="24"/>
          <w14:textFill>
            <w14:solidFill>
              <w14:schemeClr w14:val="tx1"/>
            </w14:solidFill>
          </w14:textFill>
        </w:rPr>
      </w:pPr>
      <w:r>
        <w:rPr>
          <w:rFonts w:hint="eastAsia" w:ascii="微软雅黑" w:hAnsi="微软雅黑" w:eastAsia="微软雅黑" w:cs="微软雅黑"/>
          <w:b w:val="0"/>
          <w:bCs w:val="0"/>
          <w:color w:val="000000" w:themeColor="text1"/>
          <w:sz w:val="21"/>
          <w:szCs w:val="24"/>
          <w14:textFill>
            <w14:solidFill>
              <w14:schemeClr w14:val="tx1"/>
            </w14:solidFill>
          </w14:textFill>
        </w:rPr>
        <w:t>5. 右侧面板显示提取的数据</w:t>
      </w:r>
    </w:p>
    <w:p w14:paraId="7C0EAE1C">
      <w:pPr>
        <w:rPr>
          <w:rFonts w:hint="eastAsia" w:ascii="微软雅黑" w:hAnsi="微软雅黑" w:eastAsia="微软雅黑" w:cs="微软雅黑"/>
          <w:b w:val="0"/>
          <w:bCs w:val="0"/>
          <w:color w:val="000000" w:themeColor="text1"/>
          <w:sz w:val="21"/>
          <w:szCs w:val="24"/>
          <w14:textFill>
            <w14:solidFill>
              <w14:schemeClr w14:val="tx1"/>
            </w14:solidFill>
          </w14:textFill>
        </w:rPr>
      </w:pPr>
      <w:r>
        <w:rPr>
          <w:rFonts w:hint="eastAsia" w:ascii="微软雅黑" w:hAnsi="微软雅黑" w:eastAsia="微软雅黑" w:cs="微软雅黑"/>
          <w:b w:val="0"/>
          <w:bCs w:val="0"/>
          <w:color w:val="000000" w:themeColor="text1"/>
          <w:sz w:val="21"/>
          <w:szCs w:val="24"/>
          <w14:textFill>
            <w14:solidFill>
              <w14:schemeClr w14:val="tx1"/>
            </w14:solidFill>
          </w14:textFill>
        </w:rPr>
        <w:t>6. 选中右侧某一行时，高亮左侧对应的源文档位置（如可用）</w:t>
      </w:r>
    </w:p>
    <w:p w14:paraId="4BAB0589">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三、查看模式</w:t>
      </w:r>
    </w:p>
    <w:p w14:paraId="1AA8FE8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7. 用户可在两种模式间切换：</w:t>
      </w:r>
    </w:p>
    <w:p w14:paraId="48A6F1BD">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Raw View（原始视图）：Raw View（原始视图）：显示提取的原始 line items，与检测结果完全一致</w:t>
      </w:r>
    </w:p>
    <w:p w14:paraId="77D9EFAF">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Standardized View（标准化视图）：数据按 LG 财务类别映射展示</w:t>
      </w:r>
    </w:p>
    <w:p w14:paraId="55612E4C">
      <w:pPr>
        <w:rPr>
          <w:rFonts w:hint="eastAsia" w:ascii="微软雅黑" w:hAnsi="微软雅黑" w:eastAsia="微软雅黑" w:cs="微软雅黑"/>
          <w:b w:val="0"/>
          <w:bCs w:val="0"/>
          <w:color w:val="4874CB" w:themeColor="accent1"/>
          <w:sz w:val="21"/>
          <w:szCs w:val="24"/>
          <w:lang w:val="en-US" w:eastAsia="zh-CN"/>
          <w14:textFill>
            <w14:solidFill>
              <w14:schemeClr w14:val="accent1"/>
            </w14:solidFill>
          </w14:textFill>
        </w:rPr>
      </w:pPr>
      <w:r>
        <w:rPr>
          <w:rFonts w:hint="eastAsia" w:ascii="微软雅黑" w:hAnsi="微软雅黑" w:eastAsia="微软雅黑" w:cs="微软雅黑"/>
          <w:b w:val="0"/>
          <w:bCs w:val="0"/>
          <w:color w:val="4874CB" w:themeColor="accent1"/>
          <w:sz w:val="21"/>
          <w:szCs w:val="24"/>
          <w:lang w:val="en-US" w:eastAsia="zh-CN"/>
          <w14:textFill>
            <w14:solidFill>
              <w14:schemeClr w14:val="accent1"/>
            </w14:solidFill>
          </w14:textFill>
        </w:rPr>
        <w:t>PDF/图片源数据与解析后数据每页都要对应，如有跨页表格应合并显示在右侧，Excel源数据与解析后的数据每个sheet都要对应。源数据翻页，解析数据也要对应翻页，无有效财务数据的页仅显示左侧源数据，右侧显示“该页无有效数据”提示。</w:t>
      </w:r>
    </w:p>
    <w:p w14:paraId="03DF660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8. 切换模式不丢失用户编辑内容</w:t>
      </w:r>
    </w:p>
    <w:p w14:paraId="10F0B7FA">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9. 标准化视图需展示：</w:t>
      </w:r>
    </w:p>
    <w:p w14:paraId="2D286DEF">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LG 类别</w:t>
      </w:r>
    </w:p>
    <w:p w14:paraId="25247D99">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底层源 line items（可展开查看）</w:t>
      </w:r>
    </w:p>
    <w:p w14:paraId="64CC9D5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四、内联编辑</w:t>
      </w:r>
    </w:p>
    <w:p w14:paraId="573ECEB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10. 用户可编辑以下内容：</w:t>
      </w:r>
    </w:p>
    <w:p w14:paraId="44A5FCE3">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数值</w:t>
      </w:r>
    </w:p>
    <w:p w14:paraId="722F7089">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Line item 标签/名称</w:t>
      </w:r>
    </w:p>
    <w:p w14:paraId="58D8444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类别分配（仅在标准化视图中）</w:t>
      </w:r>
    </w:p>
    <w:p w14:paraId="1AE0AFD0">
      <w:pPr>
        <w:rPr>
          <w:rFonts w:hint="default" w:ascii="微软雅黑" w:hAnsi="微软雅黑" w:eastAsia="微软雅黑" w:cs="微软雅黑"/>
          <w:b w:val="0"/>
          <w:bCs w:val="0"/>
          <w:sz w:val="21"/>
          <w:szCs w:val="24"/>
          <w:woUserID w:val="1"/>
        </w:rPr>
      </w:pPr>
      <w:r>
        <w:rPr>
          <w:rFonts w:hint="default" w:ascii="微软雅黑" w:hAnsi="微软雅黑" w:eastAsia="微软雅黑" w:cs="微软雅黑"/>
          <w:b w:val="0"/>
          <w:bCs w:val="0"/>
          <w:sz w:val="21"/>
          <w:szCs w:val="24"/>
          <w:woUserID w:val="1"/>
        </w:rPr>
        <w:t xml:space="preserve">    - 任何提取的数据都可以编辑</w:t>
      </w:r>
    </w:p>
    <w:p w14:paraId="326B72BE">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11. 编辑后的值立即替换提取值</w:t>
      </w:r>
    </w:p>
    <w:p w14:paraId="312CF279">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12. 系统需跟踪记录：</w:t>
      </w:r>
    </w:p>
    <w:p w14:paraId="2C51A32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原始值</w:t>
      </w:r>
    </w:p>
    <w:p w14:paraId="1C635D9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用户编辑后的值</w:t>
      </w:r>
    </w:p>
    <w:p w14:paraId="11E6C16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五、完成操作</w:t>
      </w:r>
    </w:p>
    <w:p w14:paraId="02A43E83">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13. 用户可确认已审查的数据 → 数据进入写入 LG schema 流程</w:t>
      </w:r>
    </w:p>
    <w:p w14:paraId="2322C1D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14. 用户可拒绝并重新上传</w:t>
      </w:r>
    </w:p>
    <w:p w14:paraId="609F463C">
      <w:pPr>
        <w:rPr>
          <w:rFonts w:hint="eastAsia" w:ascii="微软雅黑" w:hAnsi="微软雅黑" w:eastAsia="微软雅黑" w:cs="微软雅黑"/>
          <w:b w:val="0"/>
          <w:bCs w:val="0"/>
          <w:sz w:val="21"/>
          <w:szCs w:val="24"/>
        </w:rPr>
      </w:pPr>
    </w:p>
    <w:p w14:paraId="0CAF8B7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六、响应式设计</w:t>
      </w:r>
    </w:p>
    <w:p w14:paraId="2A4FC5D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15. 功能必须在桌面和移动设备上完全可用</w:t>
      </w:r>
    </w:p>
    <w:p w14:paraId="62611329">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16. 移动端需支持可折叠面板布局</w:t>
      </w:r>
    </w:p>
    <w:p w14:paraId="01031176">
      <w:pPr>
        <w:rPr>
          <w:rFonts w:hint="eastAsia" w:ascii="微软雅黑" w:hAnsi="微软雅黑" w:eastAsia="微软雅黑" w:cs="微软雅黑"/>
          <w:b w:val="0"/>
          <w:bCs w:val="0"/>
          <w:color w:val="FF0000"/>
          <w:sz w:val="21"/>
          <w:szCs w:val="24"/>
        </w:rPr>
      </w:pPr>
      <w:r>
        <w:rPr>
          <w:rFonts w:hint="eastAsia" w:ascii="微软雅黑" w:hAnsi="微软雅黑" w:eastAsia="微软雅黑" w:cs="微软雅黑"/>
          <w:b w:val="0"/>
          <w:bCs w:val="0"/>
          <w:color w:val="FF0000"/>
          <w:sz w:val="21"/>
          <w:szCs w:val="24"/>
        </w:rPr>
        <w:t>七、UX 设计要求</w:t>
      </w:r>
    </w:p>
    <w:p w14:paraId="76ECCE85">
      <w:pPr>
        <w:rPr>
          <w:rFonts w:hint="eastAsia" w:ascii="微软雅黑" w:hAnsi="微软雅黑" w:eastAsia="微软雅黑" w:cs="微软雅黑"/>
          <w:b w:val="0"/>
          <w:bCs w:val="0"/>
          <w:color w:val="000000" w:themeColor="text1"/>
          <w:sz w:val="21"/>
          <w:szCs w:val="24"/>
          <w14:textFill>
            <w14:solidFill>
              <w14:schemeClr w14:val="tx1"/>
            </w14:solidFill>
          </w14:textFill>
        </w:rPr>
      </w:pPr>
      <w:r>
        <w:rPr>
          <w:rFonts w:hint="eastAsia" w:ascii="微软雅黑" w:hAnsi="微软雅黑" w:eastAsia="微软雅黑" w:cs="微软雅黑"/>
          <w:b w:val="0"/>
          <w:bCs w:val="0"/>
          <w:color w:val="000000" w:themeColor="text1"/>
          <w:sz w:val="21"/>
          <w:szCs w:val="24"/>
          <w14:textFill>
            <w14:solidFill>
              <w14:schemeClr w14:val="tx1"/>
            </w14:solidFill>
          </w14:textFill>
        </w:rPr>
        <w:t>17. Raw 与 Standardized 视图之间需有清晰的切换控件</w:t>
      </w:r>
    </w:p>
    <w:p w14:paraId="1501CDE8">
      <w:pPr>
        <w:rPr>
          <w:rFonts w:hint="eastAsia" w:ascii="微软雅黑" w:hAnsi="微软雅黑" w:eastAsia="微软雅黑" w:cs="微软雅黑"/>
          <w:b w:val="0"/>
          <w:bCs w:val="0"/>
          <w:color w:val="000000" w:themeColor="text1"/>
          <w:sz w:val="21"/>
          <w:szCs w:val="24"/>
          <w14:textFill>
            <w14:solidFill>
              <w14:schemeClr w14:val="tx1"/>
            </w14:solidFill>
          </w14:textFill>
        </w:rPr>
      </w:pPr>
      <w:r>
        <w:rPr>
          <w:rFonts w:hint="eastAsia" w:ascii="微软雅黑" w:hAnsi="微软雅黑" w:eastAsia="微软雅黑" w:cs="微软雅黑"/>
          <w:b w:val="0"/>
          <w:bCs w:val="0"/>
          <w:color w:val="000000" w:themeColor="text1"/>
          <w:sz w:val="21"/>
          <w:szCs w:val="24"/>
          <w14:textFill>
            <w14:solidFill>
              <w14:schemeClr w14:val="tx1"/>
            </w14:solidFill>
          </w14:textFill>
        </w:rPr>
        <w:t>18. 提供类似电子表格的编辑体验</w:t>
      </w:r>
    </w:p>
    <w:p w14:paraId="5ACF2C06">
      <w:pPr>
        <w:rPr>
          <w:rFonts w:hint="eastAsia" w:ascii="微软雅黑" w:hAnsi="微软雅黑" w:eastAsia="微软雅黑" w:cs="微软雅黑"/>
          <w:b w:val="0"/>
          <w:bCs w:val="0"/>
          <w:color w:val="000000" w:themeColor="text1"/>
          <w:sz w:val="21"/>
          <w:szCs w:val="24"/>
          <w14:textFill>
            <w14:solidFill>
              <w14:schemeClr w14:val="tx1"/>
            </w14:solidFill>
          </w14:textFill>
        </w:rPr>
      </w:pPr>
      <w:r>
        <w:rPr>
          <w:rFonts w:hint="eastAsia" w:ascii="微软雅黑" w:hAnsi="微软雅黑" w:eastAsia="微软雅黑" w:cs="微软雅黑"/>
          <w:b w:val="0"/>
          <w:bCs w:val="0"/>
          <w:color w:val="000000" w:themeColor="text1"/>
          <w:sz w:val="21"/>
          <w:szCs w:val="24"/>
          <w14:textFill>
            <w14:solidFill>
              <w14:schemeClr w14:val="tx1"/>
            </w14:solidFill>
          </w14:textFill>
        </w:rPr>
        <w:t>19. 用户已编辑字段需有视觉指示器（区分已编辑与未编辑）</w:t>
      </w:r>
    </w:p>
    <w:p w14:paraId="65436A72">
      <w:pPr>
        <w:rPr>
          <w:rFonts w:hint="eastAsia" w:ascii="微软雅黑" w:hAnsi="微软雅黑" w:eastAsia="微软雅黑" w:cs="微软雅黑"/>
          <w:b w:val="0"/>
          <w:bCs w:val="0"/>
          <w:color w:val="000000" w:themeColor="text1"/>
          <w:sz w:val="21"/>
          <w:szCs w:val="24"/>
          <w14:textFill>
            <w14:solidFill>
              <w14:schemeClr w14:val="tx1"/>
            </w14:solidFill>
          </w14:textFill>
        </w:rPr>
      </w:pPr>
      <w:r>
        <w:rPr>
          <w:rFonts w:hint="eastAsia" w:ascii="微软雅黑" w:hAnsi="微软雅黑" w:eastAsia="微软雅黑" w:cs="微软雅黑"/>
          <w:b w:val="0"/>
          <w:bCs w:val="0"/>
          <w:color w:val="000000" w:themeColor="text1"/>
          <w:sz w:val="21"/>
          <w:szCs w:val="24"/>
          <w14:textFill>
            <w14:solidFill>
              <w14:schemeClr w14:val="tx1"/>
            </w14:solidFill>
          </w14:textFill>
        </w:rPr>
        <w:t>20. 用户导航时需持久保存编辑内容</w:t>
      </w:r>
    </w:p>
    <w:p w14:paraId="0FDF4608">
      <w:pPr>
        <w:rPr>
          <w:rFonts w:hint="eastAsia" w:ascii="微软雅黑" w:hAnsi="微软雅黑" w:eastAsia="微软雅黑" w:cs="微软雅黑"/>
          <w:b w:val="0"/>
          <w:bCs w:val="0"/>
          <w:color w:val="000000" w:themeColor="text1"/>
          <w:sz w:val="21"/>
          <w:szCs w:val="24"/>
          <w14:textFill>
            <w14:solidFill>
              <w14:schemeClr w14:val="tx1"/>
            </w14:solidFill>
          </w14:textFill>
        </w:rPr>
      </w:pPr>
      <w:r>
        <w:rPr>
          <w:rFonts w:hint="eastAsia" w:ascii="微软雅黑" w:hAnsi="微软雅黑" w:eastAsia="微软雅黑" w:cs="微软雅黑"/>
          <w:b w:val="0"/>
          <w:bCs w:val="0"/>
          <w:color w:val="000000" w:themeColor="text1"/>
          <w:sz w:val="21"/>
          <w:szCs w:val="24"/>
          <w14:textFill>
            <w14:solidFill>
              <w14:schemeClr w14:val="tx1"/>
            </w14:solidFill>
          </w14:textFill>
        </w:rPr>
        <w:t>21. 移动端使用可折叠面板布局</w:t>
      </w:r>
    </w:p>
    <w:p w14:paraId="272E1FF9">
      <w:pPr>
        <w:rPr>
          <w:rFonts w:hint="eastAsia" w:ascii="微软雅黑" w:hAnsi="微软雅黑" w:eastAsia="微软雅黑" w:cs="微软雅黑"/>
          <w:b/>
          <w:bCs/>
        </w:rPr>
      </w:pPr>
      <w:r>
        <w:rPr>
          <w:rFonts w:hint="eastAsia" w:ascii="微软雅黑" w:hAnsi="微软雅黑" w:eastAsia="微软雅黑" w:cs="微软雅黑"/>
          <w:b/>
          <w:bCs/>
          <w:lang w:val="en-US" w:eastAsia="zh-CN"/>
        </w:rPr>
        <w:t>#</w:t>
      </w:r>
      <w:r>
        <w:rPr>
          <w:rFonts w:hint="eastAsia" w:ascii="微软雅黑" w:hAnsi="微软雅黑" w:eastAsia="微软雅黑" w:cs="微软雅黑"/>
          <w:b/>
          <w:bCs/>
        </w:rPr>
        <w:t xml:space="preserve">Step </w:t>
      </w:r>
      <w:r>
        <w:rPr>
          <w:rFonts w:hint="eastAsia" w:ascii="微软雅黑" w:hAnsi="微软雅黑" w:eastAsia="微软雅黑" w:cs="微软雅黑"/>
          <w:b/>
          <w:bCs/>
          <w:lang w:val="en-US" w:eastAsia="zh-CN"/>
        </w:rPr>
        <w:t>4</w:t>
      </w:r>
      <w:r>
        <w:rPr>
          <w:rFonts w:hint="eastAsia" w:ascii="微软雅黑" w:hAnsi="微软雅黑" w:eastAsia="微软雅黑" w:cs="微软雅黑"/>
          <w:b/>
          <w:bCs/>
        </w:rPr>
        <w:t>: AI 辅助账户映射</w:t>
      </w:r>
    </w:p>
    <w:p w14:paraId="43DEFDF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一、触发与流程定位</w:t>
      </w:r>
    </w:p>
    <w:p w14:paraId="32A853A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 本步骤是文档上传工作流的 Step 3，在数据提取（OCR 或 Excel 解析）完成后自动执行</w:t>
      </w:r>
    </w:p>
    <w:p w14:paraId="2D2BEC0D">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lang w:val="en-US" w:eastAsia="zh-CN"/>
        </w:rPr>
        <w:t>2</w:t>
      </w:r>
      <w:r>
        <w:rPr>
          <w:rFonts w:hint="eastAsia" w:ascii="微软雅黑" w:hAnsi="微软雅黑" w:eastAsia="微软雅黑" w:cs="微软雅黑"/>
          <w:b w:val="0"/>
          <w:bCs w:val="0"/>
          <w:sz w:val="21"/>
          <w:szCs w:val="24"/>
        </w:rPr>
        <w:t>. 映射过程完全自动，在后台运行，不构成独立的用户操作步骤</w:t>
      </w:r>
    </w:p>
    <w:p w14:paraId="4223A19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lang w:val="en-US" w:eastAsia="zh-CN"/>
        </w:rPr>
        <w:t>3</w:t>
      </w:r>
      <w:r>
        <w:rPr>
          <w:rFonts w:hint="eastAsia" w:ascii="微软雅黑" w:hAnsi="微软雅黑" w:eastAsia="微软雅黑" w:cs="微软雅黑"/>
          <w:b w:val="0"/>
          <w:bCs w:val="0"/>
          <w:sz w:val="21"/>
          <w:szCs w:val="24"/>
        </w:rPr>
        <w:t>. 无需用户交互，用户验证和修正在后续的"并排审查"中处理</w:t>
      </w:r>
    </w:p>
    <w:p w14:paraId="6C5230ED">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二、映射执行规则</w:t>
      </w:r>
    </w:p>
    <w:p w14:paraId="66AD435F">
      <w:pPr>
        <w:rPr>
          <w:rFonts w:hint="eastAsia" w:ascii="微软雅黑" w:hAnsi="微软雅黑" w:eastAsia="微软雅黑" w:cs="微软雅黑"/>
          <w:b/>
          <w:bCs/>
          <w:sz w:val="21"/>
          <w:szCs w:val="24"/>
        </w:rPr>
      </w:pPr>
      <w:r>
        <w:rPr>
          <w:rFonts w:hint="eastAsia" w:ascii="微软雅黑" w:hAnsi="微软雅黑" w:eastAsia="微软雅黑" w:cs="微软雅黑"/>
          <w:b w:val="0"/>
          <w:bCs w:val="0"/>
          <w:sz w:val="21"/>
          <w:szCs w:val="24"/>
          <w:lang w:val="en-US" w:eastAsia="zh-CN"/>
        </w:rPr>
        <w:t>4</w:t>
      </w:r>
      <w:r>
        <w:rPr>
          <w:rFonts w:hint="eastAsia" w:ascii="微软雅黑" w:hAnsi="微软雅黑" w:eastAsia="微软雅黑" w:cs="微软雅黑"/>
          <w:b w:val="0"/>
          <w:bCs w:val="0"/>
          <w:sz w:val="21"/>
          <w:szCs w:val="24"/>
        </w:rPr>
        <w:t>. 每个提取的 line item 必须</w:t>
      </w:r>
      <w:r>
        <w:rPr>
          <w:rFonts w:hint="eastAsia" w:ascii="微软雅黑" w:hAnsi="微软雅黑" w:eastAsia="微软雅黑" w:cs="微软雅黑"/>
          <w:b/>
          <w:bCs/>
          <w:sz w:val="21"/>
          <w:szCs w:val="24"/>
        </w:rPr>
        <w:t>获得一个建议的 LG 类别</w:t>
      </w:r>
    </w:p>
    <w:p w14:paraId="5C907884">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lang w:val="en-US" w:eastAsia="zh-CN"/>
        </w:rPr>
        <w:t>5</w:t>
      </w:r>
      <w:r>
        <w:rPr>
          <w:rFonts w:hint="eastAsia" w:ascii="微软雅黑" w:hAnsi="微软雅黑" w:eastAsia="微软雅黑" w:cs="微软雅黑"/>
          <w:b w:val="0"/>
          <w:bCs w:val="0"/>
          <w:sz w:val="21"/>
          <w:szCs w:val="24"/>
        </w:rPr>
        <w:t xml:space="preserve">. </w:t>
      </w:r>
      <w:r>
        <w:rPr>
          <w:rFonts w:hint="eastAsia" w:ascii="微软雅黑" w:hAnsi="微软雅黑" w:eastAsia="微软雅黑" w:cs="微软雅黑"/>
          <w:b w:val="0"/>
          <w:bCs w:val="0"/>
          <w:color w:val="D0CECE" w:themeColor="background2" w:themeShade="E6"/>
          <w:sz w:val="21"/>
          <w:szCs w:val="24"/>
        </w:rPr>
        <w:t>无论置信度高低，</w:t>
      </w:r>
      <w:r>
        <w:rPr>
          <w:rFonts w:hint="eastAsia" w:ascii="微软雅黑" w:hAnsi="微软雅黑" w:eastAsia="微软雅黑" w:cs="微软雅黑"/>
          <w:b w:val="0"/>
          <w:bCs w:val="0"/>
          <w:sz w:val="21"/>
          <w:szCs w:val="24"/>
        </w:rPr>
        <w:t>所有 line items 都必须生成映射建议，以支持标准化视图展示</w:t>
      </w:r>
    </w:p>
    <w:p w14:paraId="64A317E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lang w:val="en-US" w:eastAsia="zh-CN"/>
        </w:rPr>
        <w:t>6</w:t>
      </w:r>
      <w:r>
        <w:rPr>
          <w:rFonts w:hint="eastAsia" w:ascii="微软雅黑" w:hAnsi="微软雅黑" w:eastAsia="微软雅黑" w:cs="微软雅黑"/>
          <w:b w:val="0"/>
          <w:bCs w:val="0"/>
          <w:sz w:val="21"/>
          <w:szCs w:val="24"/>
        </w:rPr>
        <w:t>. 映射优先保证完整性，误分类可接受，前提是可审查可编辑</w:t>
      </w:r>
    </w:p>
    <w:p w14:paraId="35A702F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三、支持的 LG 标准类别（共17个）</w:t>
      </w:r>
    </w:p>
    <w:p w14:paraId="3D26C89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lang w:val="en-US" w:eastAsia="zh-CN"/>
        </w:rPr>
        <w:t>7</w:t>
      </w:r>
      <w:r>
        <w:rPr>
          <w:rFonts w:hint="eastAsia" w:ascii="微软雅黑" w:hAnsi="微软雅黑" w:eastAsia="微软雅黑" w:cs="微软雅黑"/>
          <w:b w:val="0"/>
          <w:bCs w:val="0"/>
          <w:sz w:val="21"/>
          <w:szCs w:val="24"/>
        </w:rPr>
        <w:t>. 利润表类：</w:t>
      </w:r>
    </w:p>
    <w:p w14:paraId="11505CA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Revenue</w:t>
      </w:r>
    </w:p>
    <w:p w14:paraId="1E7F9DA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COGS</w:t>
      </w:r>
    </w:p>
    <w:p w14:paraId="6777569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Sales &amp; Marketing Expenses</w:t>
      </w:r>
    </w:p>
    <w:p w14:paraId="2C711A1A">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R&amp;D Expenses</w:t>
      </w:r>
    </w:p>
    <w:p w14:paraId="4102B149">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G&amp;A Expenses</w:t>
      </w:r>
    </w:p>
    <w:p w14:paraId="046F50D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S&amp;M Payroll</w:t>
      </w:r>
    </w:p>
    <w:p w14:paraId="145135A4">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R&amp;D Payroll</w:t>
      </w:r>
    </w:p>
    <w:p w14:paraId="6226AE5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G&amp;A Payroll</w:t>
      </w:r>
    </w:p>
    <w:p w14:paraId="1D0F77F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Miscellaneous Operating Expenses</w:t>
      </w:r>
    </w:p>
    <w:p w14:paraId="01C7289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lang w:val="en-US" w:eastAsia="zh-CN"/>
        </w:rPr>
        <w:t>8</w:t>
      </w:r>
      <w:r>
        <w:rPr>
          <w:rFonts w:hint="eastAsia" w:ascii="微软雅黑" w:hAnsi="微软雅黑" w:eastAsia="微软雅黑" w:cs="微软雅黑"/>
          <w:b w:val="0"/>
          <w:bCs w:val="0"/>
          <w:sz w:val="21"/>
          <w:szCs w:val="24"/>
        </w:rPr>
        <w:t>. 资产负债表类：</w:t>
      </w:r>
    </w:p>
    <w:p w14:paraId="642D864D">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Cash</w:t>
      </w:r>
    </w:p>
    <w:p w14:paraId="26142C2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Accounts Receivable</w:t>
      </w:r>
    </w:p>
    <w:p w14:paraId="329B223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R&amp;D Capitalized</w:t>
      </w:r>
    </w:p>
    <w:p w14:paraId="10D0246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Other Assets</w:t>
      </w:r>
    </w:p>
    <w:p w14:paraId="7279AB6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Accounts Payable</w:t>
      </w:r>
    </w:p>
    <w:p w14:paraId="6B6FAF99">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Long Term Debt</w:t>
      </w:r>
    </w:p>
    <w:p w14:paraId="756B871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Other Liabilities</w:t>
      </w:r>
    </w:p>
    <w:p w14:paraId="3C53EE1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四、映射关键词规则（基线启发式）</w:t>
      </w:r>
    </w:p>
    <w:p w14:paraId="2A2BAFEE">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lang w:val="en-US" w:eastAsia="zh-CN"/>
        </w:rPr>
        <w:t>9</w:t>
      </w:r>
      <w:r>
        <w:rPr>
          <w:rFonts w:hint="eastAsia" w:ascii="微软雅黑" w:hAnsi="微软雅黑" w:eastAsia="微软雅黑" w:cs="微软雅黑"/>
          <w:b w:val="0"/>
          <w:bCs w:val="0"/>
          <w:sz w:val="21"/>
          <w:szCs w:val="24"/>
        </w:rPr>
        <w:t>. Revenue：匹配关键词 `["sales", "revenue", "income", "fees", "subscriptions", "gross receipts"]`</w:t>
      </w:r>
    </w:p>
    <w:p w14:paraId="3E558F4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特殊情况：标签含 `"refund"`, `"returns"`, `"contra"` → 归为 Revenue Contra（负贡献）</w:t>
      </w:r>
    </w:p>
    <w:p w14:paraId="71E8113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w:t>
      </w:r>
      <w:r>
        <w:rPr>
          <w:rFonts w:hint="eastAsia" w:ascii="微软雅黑" w:hAnsi="微软雅黑" w:eastAsia="微软雅黑" w:cs="微软雅黑"/>
          <w:b w:val="0"/>
          <w:bCs w:val="0"/>
          <w:sz w:val="21"/>
          <w:szCs w:val="24"/>
          <w:lang w:val="en-US" w:eastAsia="zh-CN"/>
        </w:rPr>
        <w:t>0</w:t>
      </w:r>
      <w:r>
        <w:rPr>
          <w:rFonts w:hint="eastAsia" w:ascii="微软雅黑" w:hAnsi="微软雅黑" w:eastAsia="微软雅黑" w:cs="微软雅黑"/>
          <w:b w:val="0"/>
          <w:bCs w:val="0"/>
          <w:sz w:val="21"/>
          <w:szCs w:val="24"/>
        </w:rPr>
        <w:t>. COGS：匹配关键词 `["cogs", "cost of goods", "materials", "inventory", "supplies used", "direct labor", "hosting", "infrastructure", "cloud", "server", "bandwidth", "third-party", "api", "support"]`</w:t>
      </w:r>
    </w:p>
    <w:p w14:paraId="7013516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w:t>
      </w:r>
      <w:r>
        <w:rPr>
          <w:rFonts w:hint="eastAsia" w:ascii="微软雅黑" w:hAnsi="微软雅黑" w:eastAsia="微软雅黑" w:cs="微软雅黑"/>
          <w:b w:val="0"/>
          <w:bCs w:val="0"/>
          <w:sz w:val="21"/>
          <w:szCs w:val="24"/>
          <w:lang w:val="en-US" w:eastAsia="zh-CN"/>
        </w:rPr>
        <w:t>1</w:t>
      </w:r>
      <w:r>
        <w:rPr>
          <w:rFonts w:hint="eastAsia" w:ascii="微软雅黑" w:hAnsi="微软雅黑" w:eastAsia="微软雅黑" w:cs="微软雅黑"/>
          <w:b w:val="0"/>
          <w:bCs w:val="0"/>
          <w:sz w:val="21"/>
          <w:szCs w:val="24"/>
        </w:rPr>
        <w:t>. S&amp;M Expenses：分四组关键词</w:t>
      </w:r>
    </w:p>
    <w:p w14:paraId="1B431C29">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营销广告：`["marketing", "advertising", "ads", "promotion", "campaign", "digital marketing", "seo", "sem", "ppc", "social media", "brand", "branding", "public relations", "pr", "media"]`</w:t>
      </w:r>
    </w:p>
    <w:p w14:paraId="5E85D82F">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销售：`["sales", "commission", "commissions", "sales commission", "sales expense", "business development", "bd", "customer acquisition", "lead generation"]`</w:t>
      </w:r>
    </w:p>
    <w:p w14:paraId="1FDE5B2D">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客户与渠道：`["customer success", "customer support", "merchant fees", "payment processing fees", "referral fees"]`</w:t>
      </w:r>
    </w:p>
    <w:p w14:paraId="75D3FAC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活动与推广：`["trade show", "conference", "event", "sponsorship"]`</w:t>
      </w:r>
    </w:p>
    <w:p w14:paraId="432F4CC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w:t>
      </w:r>
      <w:r>
        <w:rPr>
          <w:rFonts w:hint="eastAsia" w:ascii="微软雅黑" w:hAnsi="微软雅黑" w:eastAsia="微软雅黑" w:cs="微软雅黑"/>
          <w:b w:val="0"/>
          <w:bCs w:val="0"/>
          <w:sz w:val="21"/>
          <w:szCs w:val="24"/>
          <w:lang w:val="en-US" w:eastAsia="zh-CN"/>
        </w:rPr>
        <w:t>2</w:t>
      </w:r>
      <w:r>
        <w:rPr>
          <w:rFonts w:hint="eastAsia" w:ascii="微软雅黑" w:hAnsi="微软雅黑" w:eastAsia="微软雅黑" w:cs="微软雅黑"/>
          <w:b w:val="0"/>
          <w:bCs w:val="0"/>
          <w:sz w:val="21"/>
          <w:szCs w:val="24"/>
        </w:rPr>
        <w:t>. R&amp;D Expenses：匹配关键词 `["research", "development", "r&amp;d", "r and d", "product development", "engineering", "software development", "technical development", "developer", "engineering salaries", "technical consulting", "product design", "ux research", "cloud hosting", "aws", "azure", "gcp", "development tools", "software licenses", "testing", "qa", "quality assurance", "devops", "infrastructure engineering"]</w:t>
      </w:r>
    </w:p>
    <w:p w14:paraId="079BA85E">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w:t>
      </w:r>
      <w:r>
        <w:rPr>
          <w:rFonts w:hint="eastAsia" w:ascii="微软雅黑" w:hAnsi="微软雅黑" w:eastAsia="微软雅黑" w:cs="微软雅黑"/>
          <w:b w:val="0"/>
          <w:bCs w:val="0"/>
          <w:sz w:val="21"/>
          <w:szCs w:val="24"/>
          <w:lang w:val="en-US" w:eastAsia="zh-CN"/>
        </w:rPr>
        <w:t>3</w:t>
      </w:r>
      <w:r>
        <w:rPr>
          <w:rFonts w:hint="eastAsia" w:ascii="微软雅黑" w:hAnsi="微软雅黑" w:eastAsia="微软雅黑" w:cs="微软雅黑"/>
          <w:b w:val="0"/>
          <w:bCs w:val="0"/>
          <w:sz w:val="21"/>
          <w:szCs w:val="24"/>
        </w:rPr>
        <w:t>. G&amp;A Expenses：分四组关键词</w:t>
      </w:r>
    </w:p>
    <w:p w14:paraId="41EEB36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管理开销：`["general and administrative", "g&amp;a", "overhead", "corporate expense", "office expense"]`</w:t>
      </w:r>
    </w:p>
    <w:p w14:paraId="22D2050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设施：`["rent", "lease", "utilities", "office supplies", "internet", "phone", "equipment"]`</w:t>
      </w:r>
    </w:p>
    <w:p w14:paraId="31F4ED6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专业服务：`["legal", "legal fees", "accounting", "audit", "consulting", "professional services"]`</w:t>
      </w:r>
    </w:p>
    <w:p w14:paraId="32E9512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行政：`["hr", "human resources", "recruiting", "insurance", "licenses", "permits"]`</w:t>
      </w:r>
    </w:p>
    <w:p w14:paraId="47FBF882">
      <w:pPr>
        <w:rPr>
          <w:rFonts w:hint="eastAsia" w:ascii="微软雅黑" w:hAnsi="微软雅黑" w:eastAsia="微软雅黑" w:cs="微软雅黑"/>
          <w:b w:val="0"/>
          <w:bCs w:val="0"/>
          <w:sz w:val="21"/>
          <w:szCs w:val="24"/>
        </w:rPr>
      </w:pPr>
    </w:p>
    <w:p w14:paraId="28E79564">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w:t>
      </w:r>
      <w:r>
        <w:rPr>
          <w:rFonts w:hint="eastAsia" w:ascii="微软雅黑" w:hAnsi="微软雅黑" w:eastAsia="微软雅黑" w:cs="微软雅黑"/>
          <w:b w:val="0"/>
          <w:bCs w:val="0"/>
          <w:sz w:val="21"/>
          <w:szCs w:val="24"/>
          <w:lang w:val="en-US" w:eastAsia="zh-CN"/>
        </w:rPr>
        <w:t>4</w:t>
      </w:r>
      <w:r>
        <w:rPr>
          <w:rFonts w:hint="eastAsia" w:ascii="微软雅黑" w:hAnsi="微软雅黑" w:eastAsia="微软雅黑" w:cs="微软雅黑"/>
          <w:b w:val="0"/>
          <w:bCs w:val="0"/>
          <w:sz w:val="21"/>
          <w:szCs w:val="24"/>
        </w:rPr>
        <w:t>. Payroll（薪资）：匹配关键词 `["wages", "salary", "payroll", "compensation", "benefits", "payroll taxes"]`</w:t>
      </w:r>
    </w:p>
    <w:p w14:paraId="34E291A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如果 AI 无法判断归属哪个具体薪资类别（S&amp;M/R&amp;D/G&amp;A Payroll），默认归入 G&amp;A Payroll 并标记供用户审查</w:t>
      </w:r>
    </w:p>
    <w:p w14:paraId="168E63A8">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w:t>
      </w:r>
      <w:r>
        <w:rPr>
          <w:rFonts w:hint="eastAsia" w:ascii="微软雅黑" w:hAnsi="微软雅黑" w:eastAsia="微软雅黑" w:cs="微软雅黑"/>
          <w:b w:val="0"/>
          <w:bCs w:val="0"/>
          <w:sz w:val="21"/>
          <w:szCs w:val="24"/>
          <w:lang w:val="en-US" w:eastAsia="zh-CN"/>
        </w:rPr>
        <w:t>5</w:t>
      </w:r>
      <w:r>
        <w:rPr>
          <w:rFonts w:hint="eastAsia" w:ascii="微软雅黑" w:hAnsi="微软雅黑" w:eastAsia="微软雅黑" w:cs="微软雅黑"/>
          <w:b w:val="0"/>
          <w:bCs w:val="0"/>
          <w:sz w:val="21"/>
          <w:szCs w:val="24"/>
        </w:rPr>
        <w:t>. Other</w:t>
      </w:r>
      <w:r>
        <w:rPr>
          <w:rFonts w:hint="eastAsia" w:ascii="微软雅黑" w:hAnsi="微软雅黑" w:eastAsia="微软雅黑" w:cs="微软雅黑"/>
          <w:b w:val="0"/>
          <w:bCs w:val="0"/>
          <w:sz w:val="21"/>
          <w:szCs w:val="24"/>
          <w:lang w:val="en-US" w:eastAsia="zh-CN"/>
        </w:rPr>
        <w:t xml:space="preserve"> Income/</w:t>
      </w:r>
      <w:r>
        <w:rPr>
          <w:rFonts w:hint="eastAsia" w:ascii="微软雅黑" w:hAnsi="微软雅黑" w:eastAsia="微软雅黑" w:cs="微软雅黑"/>
          <w:b w:val="0"/>
          <w:bCs w:val="0"/>
          <w:sz w:val="21"/>
          <w:szCs w:val="24"/>
        </w:rPr>
        <w:t>Expenses：如果上下文表明是"Other Income"或"Other Expense"，均映射为 OOE</w:t>
      </w:r>
    </w:p>
    <w:p w14:paraId="12E63D6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同一期间内两者都存在时，需做净额处理（Expense - Income），收入大于支出时使用负号</w:t>
      </w:r>
    </w:p>
    <w:p w14:paraId="2F7D273E">
      <w:pPr>
        <w:rPr>
          <w:rFonts w:hint="eastAsia" w:ascii="微软雅黑" w:hAnsi="微软雅黑" w:eastAsia="微软雅黑" w:cs="微软雅黑"/>
          <w:b w:val="0"/>
          <w:bCs w:val="0"/>
          <w:sz w:val="21"/>
          <w:szCs w:val="24"/>
        </w:rPr>
      </w:pPr>
    </w:p>
    <w:p w14:paraId="2A3D1A7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w:t>
      </w:r>
      <w:r>
        <w:rPr>
          <w:rFonts w:hint="eastAsia" w:ascii="微软雅黑" w:hAnsi="微软雅黑" w:eastAsia="微软雅黑" w:cs="微软雅黑"/>
          <w:b w:val="0"/>
          <w:bCs w:val="0"/>
          <w:sz w:val="21"/>
          <w:szCs w:val="24"/>
          <w:lang w:val="en-US" w:eastAsia="zh-CN"/>
        </w:rPr>
        <w:t>6</w:t>
      </w:r>
      <w:r>
        <w:rPr>
          <w:rFonts w:hint="eastAsia" w:ascii="微软雅黑" w:hAnsi="微软雅黑" w:eastAsia="微软雅黑" w:cs="微软雅黑"/>
          <w:b w:val="0"/>
          <w:bCs w:val="0"/>
          <w:sz w:val="21"/>
          <w:szCs w:val="24"/>
        </w:rPr>
        <w:t>. Cash：匹配关键词 `["cash", "bank", "checking", "savings", "cash equivalents", "money market", "treasury", "short-term investments", "marketable securities"]`</w:t>
      </w:r>
    </w:p>
    <w:p w14:paraId="17CBD58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w:t>
      </w:r>
      <w:r>
        <w:rPr>
          <w:rFonts w:hint="eastAsia" w:ascii="微软雅黑" w:hAnsi="微软雅黑" w:eastAsia="微软雅黑" w:cs="微软雅黑"/>
          <w:b w:val="0"/>
          <w:bCs w:val="0"/>
          <w:sz w:val="21"/>
          <w:szCs w:val="24"/>
          <w:lang w:val="en-US" w:eastAsia="zh-CN"/>
        </w:rPr>
        <w:t>7</w:t>
      </w:r>
      <w:r>
        <w:rPr>
          <w:rFonts w:hint="eastAsia" w:ascii="微软雅黑" w:hAnsi="微软雅黑" w:eastAsia="微软雅黑" w:cs="微软雅黑"/>
          <w:b w:val="0"/>
          <w:bCs w:val="0"/>
          <w:sz w:val="21"/>
          <w:szCs w:val="24"/>
        </w:rPr>
        <w:t>. Accounts Receivable：匹配关键词 `["accounts receivable", "a/r", "receivables", "trade receivables", "unbilled revenue", "contract asset"]`</w:t>
      </w:r>
    </w:p>
    <w:p w14:paraId="7486B4C9">
      <w:pPr>
        <w:pStyle w:val="2"/>
        <w:keepNext w:val="0"/>
        <w:keepLines w:val="0"/>
        <w:widowControl/>
        <w:suppressLineNumbers w:val="0"/>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w:t>
      </w:r>
      <w:r>
        <w:rPr>
          <w:rFonts w:hint="eastAsia" w:ascii="微软雅黑" w:hAnsi="微软雅黑" w:eastAsia="微软雅黑" w:cs="微软雅黑"/>
          <w:b w:val="0"/>
          <w:bCs w:val="0"/>
          <w:sz w:val="21"/>
          <w:szCs w:val="24"/>
          <w:lang w:val="en-US" w:eastAsia="zh-CN"/>
        </w:rPr>
        <w:t>8</w:t>
      </w:r>
      <w:r>
        <w:rPr>
          <w:rFonts w:hint="eastAsia" w:ascii="微软雅黑" w:hAnsi="微软雅黑" w:eastAsia="微软雅黑" w:cs="微软雅黑"/>
          <w:b w:val="0"/>
          <w:bCs w:val="0"/>
          <w:sz w:val="21"/>
          <w:szCs w:val="24"/>
        </w:rPr>
        <w:t>. Capitalized R&amp;D</w:t>
      </w:r>
      <w:r>
        <w:rPr>
          <w:rFonts w:hint="eastAsia" w:ascii="微软雅黑" w:hAnsi="微软雅黑" w:eastAsia="微软雅黑" w:cs="微软雅黑"/>
          <w:b w:val="0"/>
          <w:bCs w:val="0"/>
          <w:sz w:val="21"/>
          <w:szCs w:val="24"/>
          <w:lang w:val="en-US" w:eastAsia="zh-CN"/>
        </w:rPr>
        <w:t xml:space="preserve"> (Monthly)</w:t>
      </w:r>
      <w:r>
        <w:rPr>
          <w:rFonts w:hint="eastAsia" w:ascii="微软雅黑" w:hAnsi="微软雅黑" w:eastAsia="微软雅黑" w:cs="微软雅黑"/>
          <w:b w:val="0"/>
          <w:bCs w:val="0"/>
          <w:sz w:val="21"/>
          <w:szCs w:val="24"/>
        </w:rPr>
        <w:t>：需要</w:t>
      </w:r>
      <w:r>
        <w:rPr>
          <w:rFonts w:hint="eastAsia" w:ascii="微软雅黑" w:hAnsi="微软雅黑" w:eastAsia="微软雅黑" w:cs="微软雅黑"/>
          <w:b w:val="0"/>
          <w:bCs w:val="0"/>
          <w:color w:val="FF0000"/>
          <w:sz w:val="21"/>
          <w:szCs w:val="24"/>
        </w:rPr>
        <w:t>同时</w:t>
      </w:r>
      <w:r>
        <w:rPr>
          <w:rFonts w:hint="eastAsia" w:ascii="微软雅黑" w:hAnsi="微软雅黑" w:eastAsia="微软雅黑" w:cs="微软雅黑"/>
          <w:b w:val="0"/>
          <w:bCs w:val="0"/>
          <w:sz w:val="21"/>
          <w:szCs w:val="24"/>
        </w:rPr>
        <w:t>满足两个信号</w:t>
      </w:r>
      <w:r>
        <w:rPr>
          <w:rFonts w:hint="eastAsia" w:ascii="微软雅黑" w:hAnsi="微软雅黑" w:eastAsia="微软雅黑" w:cs="微软雅黑"/>
          <w:b w:val="0"/>
          <w:bCs w:val="0"/>
          <w:sz w:val="21"/>
          <w:szCs w:val="24"/>
          <w:lang w:val="en-US" w:eastAsia="zh-CN"/>
        </w:rPr>
        <w:t xml:space="preserve">: </w:t>
      </w:r>
      <w:r>
        <w:t>Capitalization signal + R&amp;D / Development signal or Amortization signal</w:t>
      </w:r>
    </w:p>
    <w:p w14:paraId="6A243338">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资本化信号：`["capitalized", "capitalised", "capitalized r&amp;d", "capitalized research", "capitalized development", "software development", "internal-use software", "capitalized engineering"]`</w:t>
      </w:r>
    </w:p>
    <w:p w14:paraId="23AEFEB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摊销信号：`["amortization", "amortization of intangibles", "amortization of software", "amortized development costs", "intangible assets"]`</w:t>
      </w:r>
    </w:p>
    <w:p w14:paraId="227A9AB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lang w:val="en-US" w:eastAsia="zh-CN"/>
        </w:rPr>
        <w:t>19</w:t>
      </w:r>
      <w:r>
        <w:rPr>
          <w:rFonts w:hint="eastAsia" w:ascii="微软雅黑" w:hAnsi="微软雅黑" w:eastAsia="微软雅黑" w:cs="微软雅黑"/>
          <w:b w:val="0"/>
          <w:bCs w:val="0"/>
          <w:sz w:val="21"/>
          <w:szCs w:val="24"/>
        </w:rPr>
        <w:t>. Other Assets：属于资产分类，但未匹配到 Cash / AR / Capitalized R&amp;D 的项目</w:t>
      </w:r>
    </w:p>
    <w:p w14:paraId="23D04E9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w:t>
      </w:r>
      <w:r>
        <w:rPr>
          <w:rFonts w:hint="eastAsia" w:ascii="微软雅黑" w:hAnsi="微软雅黑" w:eastAsia="微软雅黑" w:cs="微软雅黑"/>
          <w:b w:val="0"/>
          <w:bCs w:val="0"/>
          <w:sz w:val="21"/>
          <w:szCs w:val="24"/>
          <w:lang w:val="en-US" w:eastAsia="zh-CN"/>
        </w:rPr>
        <w:t>0</w:t>
      </w:r>
      <w:r>
        <w:rPr>
          <w:rFonts w:hint="eastAsia" w:ascii="微软雅黑" w:hAnsi="微软雅黑" w:eastAsia="微软雅黑" w:cs="微软雅黑"/>
          <w:b w:val="0"/>
          <w:bCs w:val="0"/>
          <w:sz w:val="21"/>
          <w:szCs w:val="24"/>
        </w:rPr>
        <w:t>. Accounts Payable：匹配关键词 `["accounts payable", "a/p", "payables", "trade payables"]`</w:t>
      </w:r>
    </w:p>
    <w:p w14:paraId="33228C54">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w:t>
      </w:r>
      <w:r>
        <w:rPr>
          <w:rFonts w:hint="eastAsia" w:ascii="微软雅黑" w:hAnsi="微软雅黑" w:eastAsia="微软雅黑" w:cs="微软雅黑"/>
          <w:b w:val="0"/>
          <w:bCs w:val="0"/>
          <w:sz w:val="21"/>
          <w:szCs w:val="24"/>
          <w:lang w:val="en-US" w:eastAsia="zh-CN"/>
        </w:rPr>
        <w:t>1</w:t>
      </w:r>
      <w:r>
        <w:rPr>
          <w:rFonts w:hint="eastAsia" w:ascii="微软雅黑" w:hAnsi="微软雅黑" w:eastAsia="微软雅黑" w:cs="微软雅黑"/>
          <w:b w:val="0"/>
          <w:bCs w:val="0"/>
          <w:sz w:val="21"/>
          <w:szCs w:val="24"/>
        </w:rPr>
        <w:t>. Long Term Debt：匹配关键词 `["long term debt", "loan", "note payable", "term loan", "debt", "convertible note", "venture debt", "credit facility", "line of credit", "revolving"]`</w:t>
      </w:r>
    </w:p>
    <w:p w14:paraId="3916051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w:t>
      </w:r>
      <w:r>
        <w:rPr>
          <w:rFonts w:hint="eastAsia" w:ascii="微软雅黑" w:hAnsi="微软雅黑" w:eastAsia="微软雅黑" w:cs="微软雅黑"/>
          <w:b w:val="0"/>
          <w:bCs w:val="0"/>
          <w:sz w:val="21"/>
          <w:szCs w:val="24"/>
          <w:lang w:val="en-US" w:eastAsia="zh-CN"/>
        </w:rPr>
        <w:t>2</w:t>
      </w:r>
      <w:r>
        <w:rPr>
          <w:rFonts w:hint="eastAsia" w:ascii="微软雅黑" w:hAnsi="微软雅黑" w:eastAsia="微软雅黑" w:cs="微软雅黑"/>
          <w:b w:val="0"/>
          <w:bCs w:val="0"/>
          <w:sz w:val="21"/>
          <w:szCs w:val="24"/>
        </w:rPr>
        <w:t>. Other Liabilities：属于负债分类，但未匹配到 AP / Long Term Debt 的项目</w:t>
      </w:r>
    </w:p>
    <w:p w14:paraId="25C4611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五、数据持久化与审计</w:t>
      </w:r>
    </w:p>
    <w:p w14:paraId="64B82B5F">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w:t>
      </w:r>
      <w:r>
        <w:rPr>
          <w:rFonts w:hint="eastAsia" w:ascii="微软雅黑" w:hAnsi="微软雅黑" w:eastAsia="微软雅黑" w:cs="微软雅黑"/>
          <w:b w:val="0"/>
          <w:bCs w:val="0"/>
          <w:sz w:val="21"/>
          <w:szCs w:val="24"/>
          <w:lang w:val="en-US" w:eastAsia="zh-CN"/>
        </w:rPr>
        <w:t>3</w:t>
      </w:r>
      <w:r>
        <w:rPr>
          <w:rFonts w:hint="eastAsia" w:ascii="微软雅黑" w:hAnsi="微软雅黑" w:eastAsia="微软雅黑" w:cs="微软雅黑"/>
          <w:b w:val="0"/>
          <w:bCs w:val="0"/>
          <w:sz w:val="21"/>
          <w:szCs w:val="24"/>
        </w:rPr>
        <w:t>. 每条映射必须存储：</w:t>
      </w:r>
    </w:p>
    <w:p w14:paraId="7BE8E98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建议的 LG 类别</w:t>
      </w:r>
    </w:p>
    <w:p w14:paraId="7F69943D">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时间戳</w:t>
      </w:r>
    </w:p>
    <w:p w14:paraId="2523996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来源标识（AI 建议 / 用户覆盖）</w:t>
      </w:r>
    </w:p>
    <w:p w14:paraId="447E30B8">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w:t>
      </w:r>
      <w:r>
        <w:rPr>
          <w:rFonts w:hint="eastAsia" w:ascii="微软雅黑" w:hAnsi="微软雅黑" w:eastAsia="微软雅黑" w:cs="微软雅黑"/>
          <w:b w:val="0"/>
          <w:bCs w:val="0"/>
          <w:sz w:val="21"/>
          <w:szCs w:val="24"/>
          <w:lang w:val="en-US" w:eastAsia="zh-CN"/>
        </w:rPr>
        <w:t>4</w:t>
      </w:r>
      <w:r>
        <w:rPr>
          <w:rFonts w:hint="eastAsia" w:ascii="微软雅黑" w:hAnsi="微软雅黑" w:eastAsia="微软雅黑" w:cs="微软雅黑"/>
          <w:b w:val="0"/>
          <w:bCs w:val="0"/>
          <w:sz w:val="21"/>
          <w:szCs w:val="24"/>
        </w:rPr>
        <w:t>. 用户在并排审查中编辑类别时：</w:t>
      </w:r>
    </w:p>
    <w:p w14:paraId="2A0987A4">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用户选择的类别替换AI 建议</w:t>
      </w:r>
    </w:p>
    <w:p w14:paraId="50B1873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原始 AI 建议保留用于审计历史</w:t>
      </w:r>
    </w:p>
    <w:p w14:paraId="1A12164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用户覆盖数据将用于后续的"系统学习与持续改进"功能</w:t>
      </w:r>
    </w:p>
    <w:p w14:paraId="0BA5FD33">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六、核心设计原则</w:t>
      </w:r>
    </w:p>
    <w:p w14:paraId="7EEFB818">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w:t>
      </w:r>
      <w:r>
        <w:rPr>
          <w:rFonts w:hint="eastAsia" w:ascii="微软雅黑" w:hAnsi="微软雅黑" w:eastAsia="微软雅黑" w:cs="微软雅黑"/>
          <w:b w:val="0"/>
          <w:bCs w:val="0"/>
          <w:sz w:val="21"/>
          <w:szCs w:val="24"/>
          <w:lang w:val="en-US" w:eastAsia="zh-CN"/>
        </w:rPr>
        <w:t>5</w:t>
      </w:r>
      <w:r>
        <w:rPr>
          <w:rFonts w:hint="eastAsia" w:ascii="微软雅黑" w:hAnsi="微软雅黑" w:eastAsia="微软雅黑" w:cs="微软雅黑"/>
          <w:b w:val="0"/>
          <w:bCs w:val="0"/>
          <w:sz w:val="21"/>
          <w:szCs w:val="24"/>
        </w:rPr>
        <w:t>. 本步骤仅负责生成映射建议，不负责最终验证</w:t>
      </w:r>
    </w:p>
    <w:p w14:paraId="2F287DB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w:t>
      </w:r>
      <w:r>
        <w:rPr>
          <w:rFonts w:hint="eastAsia" w:ascii="微软雅黑" w:hAnsi="微软雅黑" w:eastAsia="微软雅黑" w:cs="微软雅黑"/>
          <w:b w:val="0"/>
          <w:bCs w:val="0"/>
          <w:sz w:val="21"/>
          <w:szCs w:val="24"/>
          <w:lang w:val="en-US" w:eastAsia="zh-CN"/>
        </w:rPr>
        <w:t>6</w:t>
      </w:r>
      <w:r>
        <w:rPr>
          <w:rFonts w:hint="eastAsia" w:ascii="微软雅黑" w:hAnsi="微软雅黑" w:eastAsia="微软雅黑" w:cs="微软雅黑"/>
          <w:b w:val="0"/>
          <w:bCs w:val="0"/>
          <w:sz w:val="21"/>
          <w:szCs w:val="24"/>
        </w:rPr>
        <w:t>. 映射的目标是启用标准化视图、减少手动分类工作量</w:t>
      </w:r>
      <w:r>
        <w:rPr>
          <w:rFonts w:hint="eastAsia" w:ascii="微软雅黑" w:hAnsi="微软雅黑" w:eastAsia="微软雅黑" w:cs="微软雅黑"/>
          <w:b w:val="0"/>
          <w:bCs w:val="0"/>
          <w:sz w:val="21"/>
          <w:szCs w:val="24"/>
          <w:lang w:eastAsia="zh-CN"/>
        </w:rPr>
        <w:t>、</w:t>
      </w:r>
      <w:r>
        <w:rPr>
          <w:rFonts w:hint="eastAsia" w:ascii="微软雅黑" w:hAnsi="微软雅黑" w:eastAsia="微软雅黑" w:cs="微软雅黑"/>
          <w:b w:val="0"/>
          <w:bCs w:val="0"/>
          <w:sz w:val="21"/>
          <w:szCs w:val="24"/>
        </w:rPr>
        <w:t>保持可审计性</w:t>
      </w:r>
    </w:p>
    <w:p w14:paraId="1DD82806">
      <w:pPr>
        <w:rPr>
          <w:rFonts w:hint="eastAsia" w:ascii="微软雅黑" w:hAnsi="微软雅黑" w:eastAsia="微软雅黑" w:cs="微软雅黑"/>
          <w:b/>
          <w:bCs/>
          <w:sz w:val="22"/>
          <w:szCs w:val="28"/>
          <w:lang w:eastAsia="zh-CN"/>
        </w:rPr>
      </w:pPr>
      <w:r>
        <w:rPr>
          <w:rFonts w:hint="eastAsia" w:ascii="微软雅黑" w:hAnsi="微软雅黑" w:eastAsia="微软雅黑" w:cs="微软雅黑"/>
          <w:b/>
          <w:bCs/>
          <w:lang w:val="en-US" w:eastAsia="zh-CN"/>
        </w:rPr>
        <w:t>#</w:t>
      </w:r>
      <w:r>
        <w:rPr>
          <w:rFonts w:hint="eastAsia" w:ascii="微软雅黑" w:hAnsi="微软雅黑" w:eastAsia="微软雅黑" w:cs="微软雅黑"/>
          <w:b/>
          <w:bCs/>
        </w:rPr>
        <w:t xml:space="preserve">Step 5: </w:t>
      </w:r>
      <w:r>
        <w:rPr>
          <w:rFonts w:hint="eastAsia" w:ascii="微软雅黑" w:hAnsi="微软雅黑" w:eastAsia="微软雅黑" w:cs="微软雅黑"/>
          <w:b/>
          <w:bCs/>
          <w:sz w:val="22"/>
          <w:szCs w:val="28"/>
        </w:rPr>
        <w:t>Write data to LG Schema</w:t>
      </w:r>
    </w:p>
    <w:p w14:paraId="13F510F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一、流程定位</w:t>
      </w:r>
    </w:p>
    <w:p w14:paraId="6382A123">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1. 本步骤是文档上传工作流的 Step </w:t>
      </w:r>
      <w:r>
        <w:rPr>
          <w:rFonts w:hint="eastAsia" w:ascii="微软雅黑" w:hAnsi="微软雅黑" w:eastAsia="微软雅黑" w:cs="微软雅黑"/>
          <w:b w:val="0"/>
          <w:bCs w:val="0"/>
          <w:sz w:val="21"/>
          <w:szCs w:val="24"/>
          <w:lang w:val="en-US" w:eastAsia="zh-CN"/>
        </w:rPr>
        <w:t>5</w:t>
      </w:r>
      <w:r>
        <w:rPr>
          <w:rFonts w:hint="eastAsia" w:ascii="微软雅黑" w:hAnsi="微软雅黑" w:eastAsia="微软雅黑" w:cs="微软雅黑"/>
          <w:b w:val="0"/>
          <w:bCs w:val="0"/>
          <w:sz w:val="21"/>
          <w:szCs w:val="24"/>
        </w:rPr>
        <w:t>（最终步骤），在并排审查完成并用户确认后执行</w:t>
      </w:r>
    </w:p>
    <w:p w14:paraId="01D11B4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 只有经过完整审查、修正、且用户明确批准的数据才可写入 LG schema</w:t>
      </w:r>
    </w:p>
    <w:p w14:paraId="4629875D">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二、写入前置条件</w:t>
      </w:r>
    </w:p>
    <w:p w14:paraId="593B21CE">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3. 所有提取的 line items 必须已完成映射、审查，且包含必要元数据</w:t>
      </w:r>
    </w:p>
    <w:p w14:paraId="6435673D">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4. 如有未映射、未审查或缺少元数据的项，系统阻止写入并展示明确错误信息</w:t>
      </w:r>
    </w:p>
    <w:p w14:paraId="5D3E70B9">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三、已有数据检测与用户决策</w:t>
      </w:r>
    </w:p>
    <w:p w14:paraId="735FFC3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5. 写入前系统必须检查是否已存在匹配数据，匹配维度：</w:t>
      </w:r>
    </w:p>
    <w:p w14:paraId="3255732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公司</w:t>
      </w:r>
    </w:p>
    <w:p w14:paraId="4B05A64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文档类型（P&amp;L / Balance Sheet / Proforma）</w:t>
      </w:r>
    </w:p>
    <w:p w14:paraId="1743A6E3">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数据分类（Historical vs. Forecast）</w:t>
      </w:r>
    </w:p>
    <w:p w14:paraId="48159DF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报告月份和年份</w:t>
      </w:r>
    </w:p>
    <w:p w14:paraId="68ECA8FD">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6. 如检测到已有数据，暂停写入，显示警告弹窗，内容包括：</w:t>
      </w:r>
    </w:p>
    <w:p w14:paraId="61B0284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哪些报表已存在</w:t>
      </w:r>
    </w:p>
    <w:p w14:paraId="4E775CF3">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受影响的报告期</w:t>
      </w:r>
    </w:p>
    <w:p w14:paraId="3BF36109">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已有数据是 Historical 还是 Forecast</w:t>
      </w:r>
    </w:p>
    <w:p w14:paraId="601E1FD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7. 用户必须做出明确选择：</w:t>
      </w:r>
    </w:p>
    <w:p w14:paraId="449CD2A4">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Overwrite（覆盖）：新数据替换当前活跃版本，旧版本保留为历史记录</w:t>
      </w:r>
    </w:p>
    <w:p w14:paraId="04F62F6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Skip（跳过）：已有数据不变，跳过的报表不写入，其他符合条件的文档继续写入</w:t>
      </w:r>
    </w:p>
    <w:p w14:paraId="24459273">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Cancel（取消）：不写入任何数据，用户留在审查工作流中</w:t>
      </w:r>
    </w:p>
    <w:p w14:paraId="747C281C">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8. 未经用户明确确认，不得覆盖已有数据</w:t>
      </w:r>
    </w:p>
    <w:p w14:paraId="3BB08429">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四、Schema 完整性与错误处理</w:t>
      </w:r>
    </w:p>
    <w:p w14:paraId="4DAD37F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9. 所有数据写入前必须通过 LG schema 验证</w:t>
      </w:r>
    </w:p>
    <w:p w14:paraId="72C4A7DA">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10. 验证失败时：中止写入 → 显示错误信息 → 返回审查步骤并高亮错误项</w:t>
      </w:r>
    </w:p>
    <w:p w14:paraId="3AF4289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11. 不允许部分写入（原子性）</w:t>
      </w:r>
    </w:p>
    <w:p w14:paraId="199D37FF">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五、审计与版本控制</w:t>
      </w:r>
    </w:p>
    <w:p w14:paraId="10EFC56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12. 每次写入尝试都需记录日志：</w:t>
      </w:r>
    </w:p>
    <w:p w14:paraId="05FB51F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时间戳、用户身份、源文档、报告期、文档类型</w:t>
      </w:r>
    </w:p>
    <w:p w14:paraId="6DCCF65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操作类型：written / overwritten / skipped / cancelled</w:t>
      </w:r>
    </w:p>
    <w:p w14:paraId="0C9B24A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13. 被覆盖数据的旧版本必须保留，确保完整审计追溯</w:t>
      </w:r>
    </w:p>
    <w:p w14:paraId="7D07B7E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六、写入后行为</w:t>
      </w:r>
    </w:p>
    <w:p w14:paraId="1BD3E48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14. 成功写入的数据立即反映在：</w:t>
      </w:r>
    </w:p>
    <w:p w14:paraId="38E54C5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Financial Statement 页面</w:t>
      </w:r>
    </w:p>
    <w:p w14:paraId="23F67A1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Committed Forecast 页面</w:t>
      </w:r>
    </w:p>
    <w:p w14:paraId="604DD83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下游标准化和基准分析工作流</w:t>
      </w:r>
    </w:p>
    <w:p w14:paraId="2682521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15. 上传的源文档出现在 Company Documents 页面</w:t>
      </w:r>
    </w:p>
    <w:p w14:paraId="324ED2C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16. 显示成功确认信息</w:t>
      </w:r>
    </w:p>
    <w:p w14:paraId="20CF141E">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17. 写入完成后引导用户进入 Benchmark Info Page</w:t>
      </w:r>
    </w:p>
    <w:p w14:paraId="6689C1B6">
      <w:pPr>
        <w:rPr>
          <w:rFonts w:hint="default" w:ascii="微软雅黑" w:hAnsi="微软雅黑" w:eastAsia="微软雅黑" w:cs="微软雅黑"/>
          <w:b w:val="0"/>
          <w:bCs w:val="0"/>
          <w:color w:val="FF0000"/>
          <w:sz w:val="21"/>
          <w:szCs w:val="24"/>
          <w:lang w:val="en-US" w:eastAsia="zh-CN"/>
        </w:rPr>
      </w:pPr>
      <w:r>
        <w:rPr>
          <w:rFonts w:hint="eastAsia" w:ascii="微软雅黑" w:hAnsi="微软雅黑" w:eastAsia="微软雅黑" w:cs="微软雅黑"/>
          <w:b w:val="0"/>
          <w:bCs w:val="0"/>
          <w:color w:val="FF0000"/>
          <w:sz w:val="21"/>
          <w:szCs w:val="24"/>
        </w:rPr>
        <w:t>七、UX 设计要求</w:t>
      </w:r>
      <w:r>
        <w:rPr>
          <w:rFonts w:hint="eastAsia" w:ascii="微软雅黑" w:hAnsi="微软雅黑" w:eastAsia="微软雅黑" w:cs="微软雅黑"/>
          <w:b w:val="0"/>
          <w:bCs w:val="0"/>
          <w:color w:val="FF0000"/>
          <w:sz w:val="21"/>
          <w:szCs w:val="24"/>
          <w:lang w:val="en-US" w:eastAsia="zh-CN"/>
        </w:rPr>
        <w:t>(Ticket中）</w:t>
      </w:r>
    </w:p>
    <w:p w14:paraId="032B9FAE">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18. Review &amp; Save 页面需汇总：</w:t>
      </w:r>
    </w:p>
    <w:p w14:paraId="2A2C4CA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待写入的报表、报告期、Historical vs. Forecast 分类</w:t>
      </w:r>
    </w:p>
    <w:p w14:paraId="557A244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已映射/未映射行数、标记错误数、重复项、最终合计</w:t>
      </w:r>
    </w:p>
    <w:p w14:paraId="21EF723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19. 覆盖警告弹窗：仅在检测到冲突时显示，明确说明冲突内容（如"March 2024 的 P&amp;L (Historical) 已存在"）</w:t>
      </w:r>
    </w:p>
    <w:p w14:paraId="247EEC89">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20. 覆盖操作需视觉弱化或要求二次确认（复选框或输入确认）</w:t>
      </w:r>
    </w:p>
    <w:p w14:paraId="6E7B198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21. Skip 和 Cancel 操作需清晰区分</w:t>
      </w:r>
    </w:p>
    <w:p w14:paraId="2DB44673">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22. 验证错误需内联显示（如"4 项缺少 LG 类别"、"1 项缺少日期"、"检测到潜在重复"）</w:t>
      </w:r>
    </w:p>
    <w:p w14:paraId="1C190BE7">
      <w:pPr>
        <w:rPr>
          <w:rFonts w:hint="eastAsia" w:ascii="微软雅黑" w:hAnsi="微软雅黑" w:eastAsia="微软雅黑" w:cs="微软雅黑"/>
          <w:b/>
          <w:bCs/>
          <w:sz w:val="24"/>
          <w:szCs w:val="32"/>
        </w:rPr>
      </w:pPr>
      <w:r>
        <w:rPr>
          <w:rFonts w:hint="eastAsia" w:ascii="微软雅黑" w:hAnsi="微软雅黑" w:eastAsia="微软雅黑" w:cs="微软雅黑"/>
          <w:b/>
          <w:bCs/>
          <w:sz w:val="24"/>
          <w:szCs w:val="32"/>
        </w:rPr>
        <w:t xml:space="preserve">System Learning and Continuous Improvement </w:t>
      </w:r>
    </w:p>
    <w:p w14:paraId="6D30D8D2">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一、核心目标</w:t>
      </w:r>
    </w:p>
    <w:p w14:paraId="34EEC08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 利用用户在并排审查（Step 4）中的操作反馈，持续提升 AI 映射准确率</w:t>
      </w:r>
    </w:p>
    <w:p w14:paraId="5C845E0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2. 用户应随时间推移看到需要修正的次数减少</w:t>
      </w:r>
    </w:p>
    <w:p w14:paraId="2CDD413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二、反馈捕获</w:t>
      </w:r>
    </w:p>
    <w:p w14:paraId="4005479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3. 用户在手动审查中的**所有决策**都必须记录并存储为 AI 训练信号，包括：</w:t>
      </w:r>
    </w:p>
    <w:p w14:paraId="71526375">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批准（Approve）AI 建议</w:t>
      </w:r>
    </w:p>
    <w:p w14:paraId="6EACC2EF">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覆盖（Override）AI 建议</w:t>
      </w:r>
    </w:p>
    <w:p w14:paraId="0C78F1D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手动分配（Manual mapping）LG 类别</w:t>
      </w:r>
    </w:p>
    <w:p w14:paraId="7577D341">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4. 每条反馈需关联：用户操作类型、原始 AI 建议、最终类别</w:t>
      </w:r>
    </w:p>
    <w:p w14:paraId="542E402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三、增量学习</w:t>
      </w:r>
    </w:p>
    <w:p w14:paraId="065A8126">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5. AI 模型需定期更新，使用捕获的反馈数据改进映射预测</w:t>
      </w:r>
    </w:p>
    <w:p w14:paraId="424A6E2B">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6. 系统需能识别此前未见过的文档布局和账户类型，并基于历史学习给出映射建议</w:t>
      </w:r>
    </w:p>
    <w:p w14:paraId="308D046D">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四、向后兼容性</w:t>
      </w:r>
    </w:p>
    <w:p w14:paraId="3FBD1468">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7. AI 模型更新不得使已有映射失效</w:t>
      </w:r>
    </w:p>
    <w:p w14:paraId="1FE39FF7">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8. 不得在已处理的文档中引入错误</w:t>
      </w:r>
    </w:p>
    <w:p w14:paraId="4B400CD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9. 新的学习不得破坏现有的提取或映射逻辑</w:t>
      </w:r>
    </w:p>
    <w:p w14:paraId="54A95298">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五、审计日志</w:t>
      </w:r>
    </w:p>
    <w:p w14:paraId="267E375E">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10. 所有 AI 模型更新必须记录：</w:t>
      </w:r>
    </w:p>
    <w:p w14:paraId="6DFDC550">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版本号</w:t>
      </w:r>
    </w:p>
    <w:p w14:paraId="2F6E48CA">
      <w:pPr>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xml:space="preserve">    - 时间戳</w:t>
      </w:r>
    </w:p>
    <w:p w14:paraId="25E0463F">
      <w:pPr>
        <w:ind w:firstLine="420"/>
        <w:rPr>
          <w:rFonts w:hint="eastAsia" w:ascii="微软雅黑" w:hAnsi="微软雅黑" w:eastAsia="微软雅黑" w:cs="微软雅黑"/>
          <w:b w:val="0"/>
          <w:bCs w:val="0"/>
          <w:sz w:val="21"/>
          <w:szCs w:val="24"/>
        </w:rPr>
      </w:pPr>
      <w:r>
        <w:rPr>
          <w:rFonts w:hint="eastAsia" w:ascii="微软雅黑" w:hAnsi="微软雅黑" w:eastAsia="微软雅黑" w:cs="微软雅黑"/>
          <w:b w:val="0"/>
          <w:bCs w:val="0"/>
          <w:sz w:val="21"/>
          <w:szCs w:val="24"/>
        </w:rPr>
        <w:t>- 用于重新训练的数据集信息</w:t>
      </w:r>
    </w:p>
    <w:p w14:paraId="2D476257">
      <w:pPr>
        <w:rPr>
          <w:rFonts w:hint="eastAsia" w:ascii="微软雅黑" w:hAnsi="微软雅黑" w:eastAsia="微软雅黑" w:cs="微软雅黑"/>
          <w:b w:val="0"/>
          <w:bCs w:val="0"/>
          <w:sz w:val="21"/>
          <w:szCs w:val="24"/>
        </w:rPr>
      </w:pPr>
    </w:p>
    <w:p w14:paraId="5AFD47BC">
      <w:pPr>
        <w:rPr>
          <w:rFonts w:hint="eastAsia" w:ascii="微软雅黑" w:hAnsi="微软雅黑" w:eastAsia="微软雅黑" w:cs="微软雅黑"/>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0F370F"/>
    <w:multiLevelType w:val="singleLevel"/>
    <w:tmpl w:val="A70F370F"/>
    <w:lvl w:ilvl="0" w:tentative="0">
      <w:start w:val="1"/>
      <w:numFmt w:val="chineseCounting"/>
      <w:suff w:val="nothing"/>
      <w:lvlText w:val="%1、"/>
      <w:lvlJc w:val="left"/>
      <w:rPr>
        <w:rFonts w:hint="eastAsia"/>
      </w:rPr>
    </w:lvl>
  </w:abstractNum>
  <w:abstractNum w:abstractNumId="1">
    <w:nsid w:val="E6C70285"/>
    <w:multiLevelType w:val="singleLevel"/>
    <w:tmpl w:val="E6C70285"/>
    <w:lvl w:ilvl="0" w:tentative="0">
      <w:start w:val="5"/>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19711F"/>
    <w:rsid w:val="18C07FBF"/>
    <w:rsid w:val="21AE2AB8"/>
    <w:rsid w:val="2B19711F"/>
    <w:rsid w:val="5106297C"/>
    <w:rsid w:val="54A50B33"/>
    <w:rsid w:val="6CFB7157"/>
    <w:rsid w:val="70F33611"/>
    <w:rsid w:val="DCFD9E7C"/>
    <w:rsid w:val="DFF95C7D"/>
    <w:rsid w:val="EEFEF0A8"/>
    <w:rsid w:val="F9EFC649"/>
    <w:rsid w:val="FFFC06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4694</Words>
  <Characters>8287</Characters>
  <Lines>0</Lines>
  <Paragraphs>0</Paragraphs>
  <TotalTime>175</TotalTime>
  <ScaleCrop>false</ScaleCrop>
  <LinksUpToDate>false</LinksUpToDate>
  <CharactersWithSpaces>9450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2026-03-10T11:08:00Z</dcterms:created>
  <dc:creator>Ann</dc:creator>
  <cp:lastModifiedBy>Ann</cp:lastModifiedBy>
  <dcterms:modified xsi:type="dcterms:W3CDTF">2026-03-11T06:14:57Z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BE17066FD741498D8C54AF2BBAFADC18_11</vt:lpwstr>
  </property>
  <property fmtid="{D5CDD505-2E9C-101B-9397-08002B2CF9AE}" pid="4" name="KSOTemplateDocerSaveRecord">
    <vt:lpwstr>eyJoZGlkIjoiZGNhNzY1NzZkN2ZhYmQ2MjFlODU2YjNhNTc0MmVlNWIiLCJ1c2VySWQiOiIxNTQ5ODk4OTk4In0=</vt:lpwstr>
  </property>
</Properties>
</file>