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D4" w:rsidRDefault="006A3ED4" w:rsidP="006A3ED4">
      <w:r>
        <w:t>Methodology: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Density-based spatial clustering of applications with noise  (DBSCAN)  to segment the artifacts: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Obtain information of all pixels within one segmented artifact in the form of location and intensity.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Describe and quantify the attributes of each artifact: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Location: can be described by the location of the centroid of the entire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Intensity: can be represented by average intensity of all the pixels within one artifact or a certain percentile.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Size: number of pixels in each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Type: existing literature</w:t>
      </w:r>
      <w:r>
        <w:rPr>
          <w:vertAlign w:val="superscript"/>
        </w:rPr>
        <w:t>1</w:t>
      </w:r>
      <w:r>
        <w:t xml:space="preserve"> categorized plate induced artifacts into 5 different types: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Cracking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Scratches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Peeling of plate borders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Bite-marks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Crescent-shaped bending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unsupervised machine learning to cluster different plates based on the attributes of all the artifacts on them</w:t>
      </w:r>
    </w:p>
    <w:p w:rsidR="006A3ED4" w:rsidRDefault="006A3ED4" w:rsidP="006A3ED4">
      <w:r>
        <w:t>Premises: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Phosphor storage plates (PSPs) are commonly used sensors for digital intraoral radiography.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Images are acquired indirectly via exposure under x-ray followed by a short scanning of plates.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Comparing to the direct techniques using (complementary metal oxide semiconductor) CMOS, it has the advantage of having less difficulty in placing the sensor and causing less discomfort to the patient</w:t>
      </w:r>
      <w:r>
        <w:rPr>
          <w:vertAlign w:val="superscript"/>
        </w:rPr>
        <w:t>2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However, after a prolonged period of use, damaged plates can introduce artifacts to the images.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A study showed that around 20% of images acquired by PSPs over a six-month period contain artifacts</w:t>
      </w:r>
      <w:r>
        <w:rPr>
          <w:vertAlign w:val="superscript"/>
        </w:rPr>
        <w:t>3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 xml:space="preserve">PSP-induced-artifacts have been shown to </w:t>
      </w:r>
      <w:proofErr w:type="gramStart"/>
      <w:r>
        <w:t>effect</w:t>
      </w:r>
      <w:proofErr w:type="gramEnd"/>
      <w:r>
        <w:t xml:space="preserve"> the diagnostic abilities in digital mammography</w:t>
      </w:r>
      <w:r>
        <w:rPr>
          <w:vertAlign w:val="superscript"/>
        </w:rPr>
        <w:t>4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Previous study comparing images of PSPs with different used times has suggested that each plate can be used up to 200 times without showing statistically significant changes</w:t>
      </w:r>
      <w:r>
        <w:rPr>
          <w:vertAlign w:val="superscript"/>
        </w:rPr>
        <w:t>5</w:t>
      </w:r>
      <w:r>
        <w:t xml:space="preserve">. However, in clinics the decision of whether to discard a plate or not is usually made rather arbitrarily. 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Thus, this warrants a way of quantifying artifacts and classifying them based on their predicted ability to impede diagnosis.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There were previous attempts of categorizing artifacts manually into groups of different severity</w:t>
      </w:r>
      <w:r>
        <w:rPr>
          <w:vertAlign w:val="superscript"/>
        </w:rPr>
        <w:t>6</w:t>
      </w:r>
      <w:r>
        <w:t>, but the results are at high risk of subjectivity.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Here, we purpose an algorithm-based segmentation and quantification of PSP-induced artifacts and the subsequent clustering of PSPs based on artifact attributes.</w:t>
      </w:r>
    </w:p>
    <w:p w:rsidR="006A3ED4" w:rsidRDefault="006A3ED4" w:rsidP="006A3ED4"/>
    <w:p w:rsidR="006A3ED4" w:rsidRDefault="006A3ED4" w:rsidP="006A3ED4">
      <w:r>
        <w:lastRenderedPageBreak/>
        <w:t>References: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Çalışkan</w:t>
      </w:r>
      <w:proofErr w:type="spellEnd"/>
      <w:r>
        <w:t xml:space="preserve"> A, Sumer AP. Definition, classification and retrospective analysis of </w:t>
      </w:r>
      <w:proofErr w:type="spellStart"/>
      <w:r>
        <w:t>photostimulable</w:t>
      </w:r>
      <w:proofErr w:type="spellEnd"/>
      <w:r>
        <w:t xml:space="preserve"> phosphor image artifacts and errors in intraoral dental radiology.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2017; 46: 20160188.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Wenzel A, </w:t>
      </w:r>
      <w:proofErr w:type="spellStart"/>
      <w:r>
        <w:t>Frandsen</w:t>
      </w:r>
      <w:proofErr w:type="spellEnd"/>
      <w:r>
        <w:t xml:space="preserve"> E, </w:t>
      </w:r>
      <w:proofErr w:type="spellStart"/>
      <w:r>
        <w:t>Hintze</w:t>
      </w:r>
      <w:proofErr w:type="spellEnd"/>
      <w:r>
        <w:t xml:space="preserve"> H. Patient discomfort and cross-infection control in bite-wing examinations with a storage </w:t>
      </w:r>
      <w:proofErr w:type="spellStart"/>
      <w:r>
        <w:t>phosphorplate</w:t>
      </w:r>
      <w:proofErr w:type="spellEnd"/>
      <w:r>
        <w:t xml:space="preserve"> and a CCD-based sensor. </w:t>
      </w:r>
      <w:r>
        <w:rPr>
          <w:i/>
        </w:rPr>
        <w:t>J Dent</w:t>
      </w:r>
      <w:r>
        <w:t xml:space="preserve"> 1999; 27:243-6.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Gulsahi</w:t>
      </w:r>
      <w:proofErr w:type="spellEnd"/>
      <w:r>
        <w:t xml:space="preserve"> A, </w:t>
      </w:r>
      <w:proofErr w:type="spellStart"/>
      <w:r>
        <w:t>Secgin</w:t>
      </w:r>
      <w:proofErr w:type="spellEnd"/>
      <w:r>
        <w:t xml:space="preserve"> CK. Assessment of intraoral image artifacts related to </w:t>
      </w:r>
      <w:proofErr w:type="spellStart"/>
      <w:r>
        <w:t>photostimulable</w:t>
      </w:r>
      <w:proofErr w:type="spellEnd"/>
      <w:r>
        <w:t xml:space="preserve"> phosphor plates in a </w:t>
      </w:r>
      <w:proofErr w:type="spellStart"/>
      <w:r>
        <w:t>dentomaxillofacial</w:t>
      </w:r>
      <w:proofErr w:type="spellEnd"/>
      <w:r>
        <w:t xml:space="preserve"> radiology department. </w:t>
      </w:r>
      <w:r>
        <w:rPr>
          <w:i/>
        </w:rPr>
        <w:t xml:space="preserve">Niger J </w:t>
      </w:r>
      <w:proofErr w:type="spellStart"/>
      <w:r>
        <w:rPr>
          <w:i/>
        </w:rPr>
        <w:t>Clin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Pract</w:t>
      </w:r>
      <w:proofErr w:type="spellEnd"/>
      <w:r>
        <w:t xml:space="preserve"> 2016; 19:248–53. 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rPr>
          <w:rFonts w:ascii="MS Gothic" w:eastAsia="MS Gothic" w:hAnsi="MS Gothic" w:cs="MS Gothic" w:hint="eastAsia"/>
        </w:rPr>
        <w:t>安田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光慶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加藤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京一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黒澤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駿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吉川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宏起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佐藤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久弥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高橋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俊行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岩井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譜憲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渡辺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裕之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中澤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靖夫</w:t>
      </w:r>
      <w:proofErr w:type="spellEnd"/>
      <w:r>
        <w:t xml:space="preserve">. </w:t>
      </w:r>
      <w:proofErr w:type="spellStart"/>
      <w:r>
        <w:rPr>
          <w:rFonts w:ascii="MS Gothic" w:eastAsia="MS Gothic" w:hAnsi="MS Gothic" w:cs="MS Gothic" w:hint="eastAsia"/>
        </w:rPr>
        <w:t>ディジタルマンモグラフィの輝尽性蛍光体プレート劣化による臨床画像への影響</w:t>
      </w:r>
      <w:proofErr w:type="spellEnd"/>
      <w:r>
        <w:t xml:space="preserve">. </w:t>
      </w:r>
      <w:proofErr w:type="spellStart"/>
      <w:r>
        <w:rPr>
          <w:rFonts w:ascii="MS Gothic" w:eastAsia="MS Gothic" w:hAnsi="MS Gothic" w:cs="MS Gothic" w:hint="eastAsia"/>
        </w:rPr>
        <w:t>日放技学誌</w:t>
      </w:r>
      <w:proofErr w:type="spellEnd"/>
      <w:r>
        <w:t xml:space="preserve"> 2013; 69(4): 393-399.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Ergun S., </w:t>
      </w:r>
      <w:proofErr w:type="spellStart"/>
      <w:r>
        <w:t>Güneri</w:t>
      </w:r>
      <w:proofErr w:type="spellEnd"/>
      <w:r>
        <w:t xml:space="preserve"> P., </w:t>
      </w:r>
      <w:proofErr w:type="spellStart"/>
      <w:r>
        <w:t>Ilgüy</w:t>
      </w:r>
      <w:proofErr w:type="spellEnd"/>
      <w:r>
        <w:t xml:space="preserve"> D., </w:t>
      </w:r>
      <w:proofErr w:type="spellStart"/>
      <w:r>
        <w:t>Ilgüy</w:t>
      </w:r>
      <w:proofErr w:type="spellEnd"/>
      <w:r>
        <w:t xml:space="preserve"> M., </w:t>
      </w:r>
      <w:proofErr w:type="spellStart"/>
      <w:r>
        <w:t>Boyacioglu</w:t>
      </w:r>
      <w:proofErr w:type="spellEnd"/>
      <w:r>
        <w:t xml:space="preserve"> H. How many times can we use a phosphor plate? A preliminary study.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2009; 38:42–47.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Kalathingal</w:t>
      </w:r>
      <w:proofErr w:type="spellEnd"/>
      <w:r>
        <w:t xml:space="preserve">, S M et al. Rating the Extent of Surface Scratches on </w:t>
      </w:r>
      <w:proofErr w:type="spellStart"/>
      <w:r>
        <w:t>Photostimulable</w:t>
      </w:r>
      <w:proofErr w:type="spellEnd"/>
      <w:r>
        <w:t xml:space="preserve"> Storage Phosphor Plates in a Dental School Environment.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2010; 39(3):179–183.</w:t>
      </w:r>
    </w:p>
    <w:p w:rsidR="006A3ED4" w:rsidRDefault="006A3ED4" w:rsidP="006A3ED4">
      <w:pPr>
        <w:ind w:left="360"/>
      </w:pPr>
    </w:p>
    <w:p w:rsidR="00C7501B" w:rsidRDefault="006A3ED4">
      <w:bookmarkStart w:id="0" w:name="_GoBack"/>
      <w:bookmarkEnd w:id="0"/>
    </w:p>
    <w:sectPr w:rsidR="00C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7B2A"/>
    <w:multiLevelType w:val="hybridMultilevel"/>
    <w:tmpl w:val="4CC0B5DE"/>
    <w:lvl w:ilvl="0" w:tplc="44AA8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29E0"/>
    <w:multiLevelType w:val="hybridMultilevel"/>
    <w:tmpl w:val="226C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4B"/>
    <w:rsid w:val="00280D14"/>
    <w:rsid w:val="006A3ED4"/>
    <w:rsid w:val="008B3A4B"/>
    <w:rsid w:val="00B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2778</Characters>
  <Application>Microsoft Office Word</Application>
  <DocSecurity>0</DocSecurity>
  <Lines>23</Lines>
  <Paragraphs>6</Paragraphs>
  <ScaleCrop>false</ScaleCrop>
  <Company>DC UofT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2</cp:revision>
  <dcterms:created xsi:type="dcterms:W3CDTF">2018-07-13T19:53:00Z</dcterms:created>
  <dcterms:modified xsi:type="dcterms:W3CDTF">2018-07-13T19:53:00Z</dcterms:modified>
</cp:coreProperties>
</file>