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br/>
        <w:br/>
      </w:r>
    </w:p>
    <w:p>
      <w:pPr>
        <w:jc w:val="center"/>
      </w:pPr>
      <w:r>
        <w:rPr>
          <w:b/>
          <w:sz w:val="50"/>
        </w:rPr>
        <w:t>DOCUMENTO 01 — PERFIL INSTITUCIONAL E DIRETRIZES CORPORATIVAS</w:t>
      </w:r>
    </w:p>
    <w:p>
      <w:pPr>
        <w:jc w:val="center"/>
      </w:pPr>
      <w:r>
        <w:rPr>
          <w:i/>
        </w:rPr>
        <w:t>Mercado NovaEra 24h</w:t>
      </w:r>
    </w:p>
    <w:p>
      <w:r>
        <w:br/>
      </w:r>
    </w:p>
    <w:p>
      <w:pPr>
        <w:jc w:val="center"/>
      </w:pPr>
      <w:r>
        <w:rPr>
          <w:b/>
        </w:rPr>
        <w:t>Mercado NovaEra 24h S.A.</w:t>
        <w:br/>
        <w:t>Versão 1.0 — Agosto de 2026</w:t>
        <w:br/>
        <w:t>Documento corporativo fictício</w:t>
        <w:br/>
        <w:br/>
      </w:r>
    </w:p>
    <w:p>
      <w:r>
        <w:br w:type="page"/>
      </w:r>
    </w:p>
    <w:p>
      <w:pPr>
        <w:pStyle w:val="Heading1"/>
      </w:pPr>
      <w:r>
        <w:t>1. Objetivo e finalidade</w:t>
      </w:r>
    </w:p>
    <w:p>
      <w:r>
        <w:t>Este documento apresenta a identidade, o modelo de negócio, a estrutura organizacional e as diretrizes institucionais do Mercado NovaEra 24h. A empresa é fictícia e foi concebida como organização de referência para projetos de documentação corporativa e agentes de inteligência artificial.</w:t>
      </w:r>
    </w:p>
    <w:p>
      <w:pPr>
        <w:pStyle w:val="Heading1"/>
      </w:pPr>
      <w:r>
        <w:t>2. Identidade da empresa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Item</w:t>
            </w:r>
          </w:p>
        </w:tc>
        <w:tc>
          <w:tcPr>
            <w:tcW w:type="dxa" w:w="4816"/>
          </w:tcPr>
          <w:p>
            <w:r>
              <w:t>Definição</w:t>
            </w:r>
          </w:p>
        </w:tc>
      </w:tr>
      <w:tr>
        <w:tc>
          <w:tcPr>
            <w:tcW w:type="dxa" w:w="4816"/>
          </w:tcPr>
          <w:p>
            <w:r>
              <w:t>Razão social</w:t>
            </w:r>
          </w:p>
        </w:tc>
        <w:tc>
          <w:tcPr>
            <w:tcW w:type="dxa" w:w="4816"/>
          </w:tcPr>
          <w:p>
            <w:r>
              <w:t>Mercado NovaEra 24h S.A.</w:t>
            </w:r>
          </w:p>
        </w:tc>
      </w:tr>
      <w:tr>
        <w:tc>
          <w:tcPr>
            <w:tcW w:type="dxa" w:w="4816"/>
          </w:tcPr>
          <w:p>
            <w:r>
              <w:t>Nome fantasia</w:t>
            </w:r>
          </w:p>
        </w:tc>
        <w:tc>
          <w:tcPr>
            <w:tcW w:type="dxa" w:w="4816"/>
          </w:tcPr>
          <w:p>
            <w:r>
              <w:t>Mercado NovaEra 24h</w:t>
            </w:r>
          </w:p>
        </w:tc>
      </w:tr>
      <w:tr>
        <w:tc>
          <w:tcPr>
            <w:tcW w:type="dxa" w:w="4816"/>
          </w:tcPr>
          <w:p>
            <w:r>
              <w:t>Segmento</w:t>
            </w:r>
          </w:p>
        </w:tc>
        <w:tc>
          <w:tcPr>
            <w:tcW w:type="dxa" w:w="4816"/>
          </w:tcPr>
          <w:p>
            <w:r>
              <w:t>Varejo alimentar e conveniência</w:t>
            </w:r>
          </w:p>
        </w:tc>
      </w:tr>
      <w:tr>
        <w:tc>
          <w:tcPr>
            <w:tcW w:type="dxa" w:w="4816"/>
          </w:tcPr>
          <w:p>
            <w:r>
              <w:t>Modelo de operação</w:t>
            </w:r>
          </w:p>
        </w:tc>
        <w:tc>
          <w:tcPr>
            <w:tcW w:type="dxa" w:w="4816"/>
          </w:tcPr>
          <w:p>
            <w:r>
              <w:t>Lojas físicas + e-commerce + delivery</w:t>
            </w:r>
          </w:p>
        </w:tc>
      </w:tr>
      <w:tr>
        <w:tc>
          <w:tcPr>
            <w:tcW w:type="dxa" w:w="4816"/>
          </w:tcPr>
          <w:p>
            <w:r>
              <w:t>Atendimento</w:t>
            </w:r>
          </w:p>
        </w:tc>
        <w:tc>
          <w:tcPr>
            <w:tcW w:type="dxa" w:w="4816"/>
          </w:tcPr>
          <w:p>
            <w:r>
              <w:t>24 horas por dia, 7 dias por semana</w:t>
            </w:r>
          </w:p>
        </w:tc>
      </w:tr>
      <w:tr>
        <w:tc>
          <w:tcPr>
            <w:tcW w:type="dxa" w:w="4816"/>
          </w:tcPr>
          <w:p>
            <w:r>
              <w:t>Sede</w:t>
            </w:r>
          </w:p>
        </w:tc>
        <w:tc>
          <w:tcPr>
            <w:tcW w:type="dxa" w:w="4816"/>
          </w:tcPr>
          <w:p>
            <w:r>
              <w:t>Uberlândia/MG</w:t>
            </w:r>
          </w:p>
        </w:tc>
      </w:tr>
      <w:tr>
        <w:tc>
          <w:tcPr>
            <w:tcW w:type="dxa" w:w="4816"/>
          </w:tcPr>
          <w:p>
            <w:r>
              <w:t>Unidades</w:t>
            </w:r>
          </w:p>
        </w:tc>
        <w:tc>
          <w:tcPr>
            <w:tcW w:type="dxa" w:w="4816"/>
          </w:tcPr>
          <w:p>
            <w:r>
              <w:t>Uberlândia, Araguari, Ituiutaba e região</w:t>
            </w:r>
          </w:p>
        </w:tc>
      </w:tr>
      <w:tr>
        <w:tc>
          <w:tcPr>
            <w:tcW w:type="dxa" w:w="4816"/>
          </w:tcPr>
          <w:p>
            <w:r>
              <w:t>Públicos</w:t>
            </w:r>
          </w:p>
        </w:tc>
        <w:tc>
          <w:tcPr>
            <w:tcW w:type="dxa" w:w="4816"/>
          </w:tcPr>
          <w:p>
            <w:r>
              <w:t>Consumidor final, empresas e eventos</w:t>
            </w:r>
          </w:p>
        </w:tc>
      </w:tr>
    </w:tbl>
    <w:p>
      <w:pPr>
        <w:pStyle w:val="Heading1"/>
      </w:pPr>
      <w:r>
        <w:t>3. Histórico fictício</w:t>
      </w:r>
    </w:p>
    <w:p>
      <w:r>
        <w:t>O Mercado NovaEra 24h foi criado em 2012 a partir de uma loja de bairro voltada à conveniência de consumidores que precisavam comprar alimentos e itens essenciais fora do horário comercial. A empresa expandiu gradualmente, incorporando padaria própria, açougue, hortifrúti, mercearia, bazar, atendimento corporativo e canais digitais.</w:t>
      </w:r>
    </w:p>
    <w:p>
      <w:r>
        <w:t>Em 2018 foi lançado o primeiro canal de delivery próprio. Em 2021, a empresa consolidou o aplicativo NovaEra Online e, em 2023, estruturou o programa de relacionamento NovaEra+. Em 2026, a organização passa a adotar uma estratégia de transformação digital e conhecimento corporativo.</w:t>
      </w:r>
    </w:p>
    <w:p>
      <w:pPr>
        <w:pStyle w:val="Heading1"/>
      </w:pPr>
      <w:r>
        <w:t>4. Missão, visão e valores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Elemento</w:t>
            </w:r>
          </w:p>
        </w:tc>
        <w:tc>
          <w:tcPr>
            <w:tcW w:type="dxa" w:w="4816"/>
          </w:tcPr>
          <w:p>
            <w:r>
              <w:t>Diretriz</w:t>
            </w:r>
          </w:p>
        </w:tc>
      </w:tr>
      <w:tr>
        <w:tc>
          <w:tcPr>
            <w:tcW w:type="dxa" w:w="4816"/>
          </w:tcPr>
          <w:p>
            <w:r>
              <w:t>Missão</w:t>
            </w:r>
          </w:p>
        </w:tc>
        <w:tc>
          <w:tcPr>
            <w:tcW w:type="dxa" w:w="4816"/>
          </w:tcPr>
          <w:p>
            <w:r>
              <w:t>Oferecer conveniência, qualidade e variedade em produtos de consumo diário, com atendimento confiável e disponibilidade contínua.</w:t>
            </w:r>
          </w:p>
        </w:tc>
      </w:tr>
      <w:tr>
        <w:tc>
          <w:tcPr>
            <w:tcW w:type="dxa" w:w="4816"/>
          </w:tcPr>
          <w:p>
            <w:r>
              <w:t>Visão</w:t>
            </w:r>
          </w:p>
        </w:tc>
        <w:tc>
          <w:tcPr>
            <w:tcW w:type="dxa" w:w="4816"/>
          </w:tcPr>
          <w:p>
            <w:r>
              <w:t>Ser reconhecida como uma das redes regionais de varejo alimentar mais confiáveis, digitais e orientadas ao cliente do Triângulo Mineiro.</w:t>
            </w:r>
          </w:p>
        </w:tc>
      </w:tr>
      <w:tr>
        <w:tc>
          <w:tcPr>
            <w:tcW w:type="dxa" w:w="4816"/>
          </w:tcPr>
          <w:p>
            <w:r>
              <w:t>Ética</w:t>
            </w:r>
          </w:p>
        </w:tc>
        <w:tc>
          <w:tcPr>
            <w:tcW w:type="dxa" w:w="4816"/>
          </w:tcPr>
          <w:p>
            <w:r>
              <w:t>Agir com transparência, integridade e respeito.</w:t>
            </w:r>
          </w:p>
        </w:tc>
      </w:tr>
      <w:tr>
        <w:tc>
          <w:tcPr>
            <w:tcW w:type="dxa" w:w="4816"/>
          </w:tcPr>
          <w:p>
            <w:r>
              <w:t>Cliente</w:t>
            </w:r>
          </w:p>
        </w:tc>
        <w:tc>
          <w:tcPr>
            <w:tcW w:type="dxa" w:w="4816"/>
          </w:tcPr>
          <w:p>
            <w:r>
              <w:t>Resolver necessidades com simplicidade e proximidade.</w:t>
            </w:r>
          </w:p>
        </w:tc>
      </w:tr>
      <w:tr>
        <w:tc>
          <w:tcPr>
            <w:tcW w:type="dxa" w:w="4816"/>
          </w:tcPr>
          <w:p>
            <w:r>
              <w:t>Pessoas</w:t>
            </w:r>
          </w:p>
        </w:tc>
        <w:tc>
          <w:tcPr>
            <w:tcW w:type="dxa" w:w="4816"/>
          </w:tcPr>
          <w:p>
            <w:r>
              <w:t>Desenvolver colaboradores e valorizar o trabalho em equipe.</w:t>
            </w:r>
          </w:p>
        </w:tc>
      </w:tr>
      <w:tr>
        <w:tc>
          <w:tcPr>
            <w:tcW w:type="dxa" w:w="4816"/>
          </w:tcPr>
          <w:p>
            <w:r>
              <w:t>Inovação</w:t>
            </w:r>
          </w:p>
        </w:tc>
        <w:tc>
          <w:tcPr>
            <w:tcW w:type="dxa" w:w="4816"/>
          </w:tcPr>
          <w:p>
            <w:r>
              <w:t>Usar tecnologia para melhorar a experiência e a eficiência.</w:t>
            </w:r>
          </w:p>
        </w:tc>
      </w:tr>
      <w:tr>
        <w:tc>
          <w:tcPr>
            <w:tcW w:type="dxa" w:w="4816"/>
          </w:tcPr>
          <w:p>
            <w:r>
              <w:t>Comunidade</w:t>
            </w:r>
          </w:p>
        </w:tc>
        <w:tc>
          <w:tcPr>
            <w:tcW w:type="dxa" w:w="4816"/>
          </w:tcPr>
          <w:p>
            <w:r>
              <w:t>Valorizar fornecedores locais e práticas responsáveis.</w:t>
            </w:r>
          </w:p>
        </w:tc>
      </w:tr>
    </w:tbl>
    <w:p>
      <w:pPr>
        <w:pStyle w:val="Heading1"/>
      </w:pPr>
      <w:r>
        <w:t>5. Modelo de negócios</w:t>
      </w:r>
    </w:p>
    <w:p>
      <w:pPr>
        <w:pStyle w:val="ListBullet"/>
      </w:pPr>
      <w:r>
        <w:t>Lojas 24h com setores de mercearia, hortifrúti, açougue, padaria, bebidas, congelados, higiene, limpeza e bazar.</w:t>
      </w:r>
    </w:p>
    <w:p>
      <w:pPr>
        <w:pStyle w:val="ListBullet"/>
      </w:pPr>
      <w:r>
        <w:t>Delivery próprio pelo aplicativo e site, além de plataformas parceiras.</w:t>
      </w:r>
    </w:p>
    <w:p>
      <w:pPr>
        <w:pStyle w:val="ListBullet"/>
      </w:pPr>
      <w:r>
        <w:t>Modalidade Clique e Retire.</w:t>
      </w:r>
    </w:p>
    <w:p>
      <w:pPr>
        <w:pStyle w:val="ListBullet"/>
      </w:pPr>
      <w:r>
        <w:t>Atendimento para compras corporativas, eventos e encomendas.</w:t>
      </w:r>
    </w:p>
    <w:p>
      <w:pPr>
        <w:pStyle w:val="ListBullet"/>
      </w:pPr>
      <w:r>
        <w:t>Programa de fidelidade NovaEra+.</w:t>
      </w:r>
    </w:p>
    <w:p>
      <w:pPr>
        <w:pStyle w:val="ListBullet"/>
      </w:pPr>
      <w:r>
        <w:t>Self-checkout e caixas convencionais.</w:t>
      </w:r>
    </w:p>
    <w:p>
      <w:pPr>
        <w:pStyle w:val="Heading1"/>
      </w:pPr>
      <w:r>
        <w:t>6. Estrutura organizacional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Área</w:t>
            </w:r>
          </w:p>
        </w:tc>
        <w:tc>
          <w:tcPr>
            <w:tcW w:type="dxa" w:w="4816"/>
          </w:tcPr>
          <w:p>
            <w:r>
              <w:t>Principais responsabilidades</w:t>
            </w:r>
          </w:p>
        </w:tc>
      </w:tr>
      <w:tr>
        <w:tc>
          <w:tcPr>
            <w:tcW w:type="dxa" w:w="4816"/>
          </w:tcPr>
          <w:p>
            <w:r>
              <w:t>Diretoria Executiva</w:t>
            </w:r>
          </w:p>
        </w:tc>
        <w:tc>
          <w:tcPr>
            <w:tcW w:type="dxa" w:w="4816"/>
          </w:tcPr>
          <w:p>
            <w:r>
              <w:t>Estratégia, resultados, investimentos e governança.</w:t>
            </w:r>
          </w:p>
        </w:tc>
      </w:tr>
      <w:tr>
        <w:tc>
          <w:tcPr>
            <w:tcW w:type="dxa" w:w="4816"/>
          </w:tcPr>
          <w:p>
            <w:r>
              <w:t>Operações</w:t>
            </w:r>
          </w:p>
        </w:tc>
        <w:tc>
          <w:tcPr>
            <w:tcW w:type="dxa" w:w="4816"/>
          </w:tcPr>
          <w:p>
            <w:r>
              <w:t>Lojas, segurança alimentar, atendimento e produtividade.</w:t>
            </w:r>
          </w:p>
        </w:tc>
      </w:tr>
      <w:tr>
        <w:tc>
          <w:tcPr>
            <w:tcW w:type="dxa" w:w="4816"/>
          </w:tcPr>
          <w:p>
            <w:r>
              <w:t>Comercial</w:t>
            </w:r>
          </w:p>
        </w:tc>
        <w:tc>
          <w:tcPr>
            <w:tcW w:type="dxa" w:w="4816"/>
          </w:tcPr>
          <w:p>
            <w:r>
              <w:t>Sortimento, preços, promoções e categorias.</w:t>
            </w:r>
          </w:p>
        </w:tc>
      </w:tr>
      <w:tr>
        <w:tc>
          <w:tcPr>
            <w:tcW w:type="dxa" w:w="4816"/>
          </w:tcPr>
          <w:p>
            <w:r>
              <w:t>Compras e Suprimentos</w:t>
            </w:r>
          </w:p>
        </w:tc>
        <w:tc>
          <w:tcPr>
            <w:tcW w:type="dxa" w:w="4816"/>
          </w:tcPr>
          <w:p>
            <w:r>
              <w:t>Fornecedores, negociação, pedidos e abastecimento.</w:t>
            </w:r>
          </w:p>
        </w:tc>
      </w:tr>
      <w:tr>
        <w:tc>
          <w:tcPr>
            <w:tcW w:type="dxa" w:w="4816"/>
          </w:tcPr>
          <w:p>
            <w:r>
              <w:t>Logística</w:t>
            </w:r>
          </w:p>
        </w:tc>
        <w:tc>
          <w:tcPr>
            <w:tcW w:type="dxa" w:w="4816"/>
          </w:tcPr>
          <w:p>
            <w:r>
              <w:t>CD, transporte, recebimento e distribuição.</w:t>
            </w:r>
          </w:p>
        </w:tc>
      </w:tr>
      <w:tr>
        <w:tc>
          <w:tcPr>
            <w:tcW w:type="dxa" w:w="4816"/>
          </w:tcPr>
          <w:p>
            <w:r>
              <w:t>Financeiro</w:t>
            </w:r>
          </w:p>
        </w:tc>
        <w:tc>
          <w:tcPr>
            <w:tcW w:type="dxa" w:w="4816"/>
          </w:tcPr>
          <w:p>
            <w:r>
              <w:t>Contas a pagar/receber, tesouraria e controles.</w:t>
            </w:r>
          </w:p>
        </w:tc>
      </w:tr>
      <w:tr>
        <w:tc>
          <w:tcPr>
            <w:tcW w:type="dxa" w:w="4816"/>
          </w:tcPr>
          <w:p>
            <w:r>
              <w:t>RH</w:t>
            </w:r>
          </w:p>
        </w:tc>
        <w:tc>
          <w:tcPr>
            <w:tcW w:type="dxa" w:w="4816"/>
          </w:tcPr>
          <w:p>
            <w:r>
              <w:t>Pessoas, folha, benefícios, treinamento e carreira.</w:t>
            </w:r>
          </w:p>
        </w:tc>
      </w:tr>
      <w:tr>
        <w:tc>
          <w:tcPr>
            <w:tcW w:type="dxa" w:w="4816"/>
          </w:tcPr>
          <w:p>
            <w:r>
              <w:t>TI e Dados</w:t>
            </w:r>
          </w:p>
        </w:tc>
        <w:tc>
          <w:tcPr>
            <w:tcW w:type="dxa" w:w="4816"/>
          </w:tcPr>
          <w:p>
            <w:r>
              <w:t>Sistemas, infraestrutura, segurança e dados.</w:t>
            </w:r>
          </w:p>
        </w:tc>
      </w:tr>
      <w:tr>
        <w:tc>
          <w:tcPr>
            <w:tcW w:type="dxa" w:w="4816"/>
          </w:tcPr>
          <w:p>
            <w:r>
              <w:t>Jurídico/Compliance</w:t>
            </w:r>
          </w:p>
        </w:tc>
        <w:tc>
          <w:tcPr>
            <w:tcW w:type="dxa" w:w="4816"/>
          </w:tcPr>
          <w:p>
            <w:r>
              <w:t>Contratos, conformidade, privacidade e ética.</w:t>
            </w:r>
          </w:p>
        </w:tc>
      </w:tr>
      <w:tr>
        <w:tc>
          <w:tcPr>
            <w:tcW w:type="dxa" w:w="4816"/>
          </w:tcPr>
          <w:p>
            <w:r>
              <w:t>Marketing/CRM</w:t>
            </w:r>
          </w:p>
        </w:tc>
        <w:tc>
          <w:tcPr>
            <w:tcW w:type="dxa" w:w="4816"/>
          </w:tcPr>
          <w:p>
            <w:r>
              <w:t>Marca, comunicação e relacionamento.</w:t>
            </w:r>
          </w:p>
        </w:tc>
      </w:tr>
    </w:tbl>
    <w:p>
      <w:pPr>
        <w:pStyle w:val="Heading1"/>
      </w:pPr>
      <w:r>
        <w:t>7. Canais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t>Canal</w:t>
            </w:r>
          </w:p>
        </w:tc>
        <w:tc>
          <w:tcPr>
            <w:tcW w:type="dxa" w:w="3211"/>
          </w:tcPr>
          <w:p>
            <w:r>
              <w:t>Finalidade</w:t>
            </w:r>
          </w:p>
        </w:tc>
        <w:tc>
          <w:tcPr>
            <w:tcW w:type="dxa" w:w="3211"/>
          </w:tcPr>
          <w:p>
            <w:r>
              <w:t>Disponibilidade</w:t>
            </w:r>
          </w:p>
        </w:tc>
      </w:tr>
      <w:tr>
        <w:tc>
          <w:tcPr>
            <w:tcW w:type="dxa" w:w="3211"/>
          </w:tcPr>
          <w:p>
            <w:r>
              <w:t>SAC presencial</w:t>
            </w:r>
          </w:p>
        </w:tc>
        <w:tc>
          <w:tcPr>
            <w:tcW w:type="dxa" w:w="3211"/>
          </w:tcPr>
          <w:p>
            <w:r>
              <w:t>Trocas, dúvidas e reclamações</w:t>
            </w:r>
          </w:p>
        </w:tc>
        <w:tc>
          <w:tcPr>
            <w:tcW w:type="dxa" w:w="3211"/>
          </w:tcPr>
          <w:p>
            <w:r>
              <w:t>24h</w:t>
            </w:r>
          </w:p>
        </w:tc>
      </w:tr>
      <w:tr>
        <w:tc>
          <w:tcPr>
            <w:tcW w:type="dxa" w:w="3211"/>
          </w:tcPr>
          <w:p>
            <w:r>
              <w:t>WhatsApp</w:t>
            </w:r>
          </w:p>
        </w:tc>
        <w:tc>
          <w:tcPr>
            <w:tcW w:type="dxa" w:w="3211"/>
          </w:tcPr>
          <w:p>
            <w:r>
              <w:t>Atendimento e envio de comprovantes</w:t>
            </w:r>
          </w:p>
        </w:tc>
        <w:tc>
          <w:tcPr>
            <w:tcW w:type="dxa" w:w="3211"/>
          </w:tcPr>
          <w:p>
            <w:r>
              <w:t>08h–22h</w:t>
            </w:r>
          </w:p>
        </w:tc>
      </w:tr>
      <w:tr>
        <w:tc>
          <w:tcPr>
            <w:tcW w:type="dxa" w:w="3211"/>
          </w:tcPr>
          <w:p>
            <w:r>
              <w:t>App NovaEra Online</w:t>
            </w:r>
          </w:p>
        </w:tc>
        <w:tc>
          <w:tcPr>
            <w:tcW w:type="dxa" w:w="3211"/>
          </w:tcPr>
          <w:p>
            <w:r>
              <w:t>Pedidos, suporte e histórico</w:t>
            </w:r>
          </w:p>
        </w:tc>
        <w:tc>
          <w:tcPr>
            <w:tcW w:type="dxa" w:w="3211"/>
          </w:tcPr>
          <w:p>
            <w:r>
              <w:t>24h</w:t>
            </w:r>
          </w:p>
        </w:tc>
      </w:tr>
      <w:tr>
        <w:tc>
          <w:tcPr>
            <w:tcW w:type="dxa" w:w="3211"/>
          </w:tcPr>
          <w:p>
            <w:r>
              <w:t>Site</w:t>
            </w:r>
          </w:p>
        </w:tc>
        <w:tc>
          <w:tcPr>
            <w:tcW w:type="dxa" w:w="3211"/>
          </w:tcPr>
          <w:p>
            <w:r>
              <w:t>Informações, compras e formulários</w:t>
            </w:r>
          </w:p>
        </w:tc>
        <w:tc>
          <w:tcPr>
            <w:tcW w:type="dxa" w:w="3211"/>
          </w:tcPr>
          <w:p>
            <w:r>
              <w:t>24h</w:t>
            </w:r>
          </w:p>
        </w:tc>
      </w:tr>
      <w:tr>
        <w:tc>
          <w:tcPr>
            <w:tcW w:type="dxa" w:w="3211"/>
          </w:tcPr>
          <w:p>
            <w:r>
              <w:t>Redes sociais</w:t>
            </w:r>
          </w:p>
        </w:tc>
        <w:tc>
          <w:tcPr>
            <w:tcW w:type="dxa" w:w="3211"/>
          </w:tcPr>
          <w:p>
            <w:r>
              <w:t>Comunicação e relacionamento</w:t>
            </w:r>
          </w:p>
        </w:tc>
        <w:tc>
          <w:tcPr>
            <w:tcW w:type="dxa" w:w="3211"/>
          </w:tcPr>
          <w:p>
            <w:r>
              <w:t>Horário comercial</w:t>
            </w:r>
          </w:p>
        </w:tc>
      </w:tr>
      <w:tr>
        <w:tc>
          <w:tcPr>
            <w:tcW w:type="dxa" w:w="3211"/>
          </w:tcPr>
          <w:p>
            <w:r>
              <w:t>E-mail</w:t>
            </w:r>
          </w:p>
        </w:tc>
        <w:tc>
          <w:tcPr>
            <w:tcW w:type="dxa" w:w="3211"/>
          </w:tcPr>
          <w:p>
            <w:r>
              <w:t>Demandas formais</w:t>
            </w:r>
          </w:p>
        </w:tc>
        <w:tc>
          <w:tcPr>
            <w:tcW w:type="dxa" w:w="3211"/>
          </w:tcPr>
          <w:p>
            <w:r>
              <w:t>Retorno conforme SLA</w:t>
            </w:r>
          </w:p>
        </w:tc>
      </w:tr>
    </w:tbl>
    <w:p>
      <w:pPr>
        <w:pStyle w:val="Heading1"/>
      </w:pPr>
      <w:r>
        <w:t>8. Princípios de governança</w:t>
      </w:r>
    </w:p>
    <w:p>
      <w:pPr>
        <w:pStyle w:val="ListBullet"/>
      </w:pPr>
      <w:r>
        <w:t>Separação entre solicitação, aprovação e execução.</w:t>
      </w:r>
    </w:p>
    <w:p>
      <w:pPr>
        <w:pStyle w:val="ListBullet"/>
      </w:pPr>
      <w:r>
        <w:t>Rastreabilidade de decisões e protocolos.</w:t>
      </w:r>
    </w:p>
    <w:p>
      <w:pPr>
        <w:pStyle w:val="ListBullet"/>
      </w:pPr>
      <w:r>
        <w:t>Proteção de dados pessoais.</w:t>
      </w:r>
    </w:p>
    <w:p>
      <w:pPr>
        <w:pStyle w:val="ListBullet"/>
      </w:pPr>
      <w:r>
        <w:t>Tratamento uniforme das demandas.</w:t>
      </w:r>
    </w:p>
    <w:p>
      <w:pPr>
        <w:pStyle w:val="ListBullet"/>
      </w:pPr>
      <w:r>
        <w:t>Escalonamento formal de exceções.</w:t>
      </w:r>
    </w:p>
    <w:p>
      <w:pPr>
        <w:pStyle w:val="ListBullet"/>
      </w:pPr>
      <w:r>
        <w:t>Registro de indicadores e planos de ação.</w:t>
      </w:r>
    </w:p>
    <w:p>
      <w:pPr>
        <w:pStyle w:val="Heading1"/>
      </w:pPr>
      <w:r>
        <w:t>9. Objetivos estratégicos 2026–2028</w:t>
      </w:r>
    </w:p>
    <w:p>
      <w:pPr>
        <w:pStyle w:val="ListBullet"/>
      </w:pPr>
      <w:r>
        <w:t>Aumentar a participação das vendas digitais.</w:t>
      </w:r>
    </w:p>
    <w:p>
      <w:pPr>
        <w:pStyle w:val="ListBullet"/>
      </w:pPr>
      <w:r>
        <w:t>Reduzir rupturas e perdas de produtos perecíveis.</w:t>
      </w:r>
    </w:p>
    <w:p>
      <w:pPr>
        <w:pStyle w:val="ListBullet"/>
      </w:pPr>
      <w:r>
        <w:t>Melhorar satisfação e resolução no primeiro contato.</w:t>
      </w:r>
    </w:p>
    <w:p>
      <w:pPr>
        <w:pStyle w:val="ListBullet"/>
      </w:pPr>
      <w:r>
        <w:t>Expandir fornecedores locais qualificados.</w:t>
      </w:r>
    </w:p>
    <w:p>
      <w:pPr>
        <w:pStyle w:val="ListBullet"/>
      </w:pPr>
      <w:r>
        <w:t>Automatizar processos internos e gestão do conhecimento.</w:t>
      </w:r>
    </w:p>
    <w:p>
      <w:pPr>
        <w:pStyle w:val="ListBullet"/>
      </w:pPr>
      <w:r>
        <w:t>Criar uma base corporativa preparada para consultas por IA.</w:t>
      </w:r>
    </w:p>
    <w:p>
      <w:pPr>
        <w:pStyle w:val="Heading1"/>
      </w:pPr>
      <w:r>
        <w:t>10. Documento de referência para o agente corporativo</w:t>
      </w:r>
    </w:p>
    <w:p>
      <w:r>
        <w:t>Toda informação utilizada por sistemas de IA deverá possuir fonte, área responsável, versão e data de atualização. Em caso de conflito entre documentos, o agente deve priorizar a política vigente e sinalizar a necessidade de validação humana.</w:t>
      </w:r>
    </w:p>
    <w:sectPr w:rsidR="00FC693F" w:rsidRPr="0006063C" w:rsidSect="00034616">
      <w:foot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Mercado NovaEra 24h S.A. | Documento fictício para projeto de referência | Versão 1.0 — Agosto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