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</w:r>
    </w:p>
    <w:p>
      <w:pPr>
        <w:jc w:val="center"/>
      </w:pPr>
      <w:r>
        <w:rPr>
          <w:b/>
          <w:sz w:val="50"/>
        </w:rPr>
        <w:t>DOCUMENTO 02 — POLÍTICA INTEGRADA DE ATENDIMENTO, TROCAS, DEVOLUÇÕES E PRIVACIDADE</w:t>
      </w:r>
    </w:p>
    <w:p>
      <w:pPr>
        <w:jc w:val="center"/>
      </w:pPr>
      <w:r>
        <w:rPr>
          <w:i/>
        </w:rPr>
        <w:t>Mercado NovaEra 24h</w:t>
      </w:r>
    </w:p>
    <w:p>
      <w:r>
        <w:br/>
      </w:r>
    </w:p>
    <w:p>
      <w:pPr>
        <w:jc w:val="center"/>
      </w:pPr>
      <w:r>
        <w:rPr>
          <w:b/>
        </w:rPr>
        <w:t>Mercado NovaEra 24h S.A.</w:t>
        <w:br/>
        <w:t>Versão 1.0 — Agosto de 2026</w:t>
        <w:br/>
        <w:t>Documento corporativo fictício</w:t>
        <w:br/>
        <w:br/>
      </w:r>
    </w:p>
    <w:p>
      <w:r>
        <w:br w:type="page"/>
      </w:r>
    </w:p>
    <w:p>
      <w:pPr>
        <w:pStyle w:val="Heading1"/>
      </w:pPr>
      <w:r>
        <w:t>1. Finalidade</w:t>
      </w:r>
    </w:p>
    <w:p>
      <w:r>
        <w:t>Padronizar o atendimento ao cliente, os processos de pós-venda, trocas, devoluções, reembolsos, ouvidoria, relacionamento e proteção de dados.</w:t>
      </w:r>
    </w:p>
    <w:p>
      <w:pPr>
        <w:pStyle w:val="Heading1"/>
      </w:pPr>
      <w:r>
        <w:t>2. Filosofia de atendimento</w:t>
      </w:r>
    </w:p>
    <w:p>
      <w:r>
        <w:t>O NovaEra adota o conceito de atendimento P.R.O.: Proximidade, Resolução e Orientação. Cada interação deve ser clara, respeitosa, rastreável e compatível com os direitos do consumidor.</w:t>
      </w:r>
    </w:p>
    <w:p>
      <w:pPr>
        <w:pStyle w:val="Heading1"/>
      </w:pPr>
      <w:r>
        <w:t>3. Canais e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Canal</w:t>
            </w:r>
          </w:p>
        </w:tc>
        <w:tc>
          <w:tcPr>
            <w:tcW w:type="dxa" w:w="3211"/>
          </w:tcPr>
          <w:p>
            <w:r>
              <w:t>SLA de referência</w:t>
            </w:r>
          </w:p>
        </w:tc>
        <w:tc>
          <w:tcPr>
            <w:tcW w:type="dxa" w:w="3211"/>
          </w:tcPr>
          <w:p>
            <w:r>
              <w:t>Uso</w:t>
            </w:r>
          </w:p>
        </w:tc>
      </w:tr>
      <w:tr>
        <w:tc>
          <w:tcPr>
            <w:tcW w:type="dxa" w:w="3211"/>
          </w:tcPr>
          <w:p>
            <w:r>
              <w:t>SAC presencial</w:t>
            </w:r>
          </w:p>
        </w:tc>
        <w:tc>
          <w:tcPr>
            <w:tcW w:type="dxa" w:w="3211"/>
          </w:tcPr>
          <w:p>
            <w:r>
              <w:t>Fila até 5 min em pico; trocas simples até 10 min</w:t>
            </w:r>
          </w:p>
        </w:tc>
        <w:tc>
          <w:tcPr>
            <w:tcW w:type="dxa" w:w="3211"/>
          </w:tcPr>
          <w:p>
            <w:r>
              <w:t>Atendimento geral</w:t>
            </w:r>
          </w:p>
        </w:tc>
      </w:tr>
      <w:tr>
        <w:tc>
          <w:tcPr>
            <w:tcW w:type="dxa" w:w="3211"/>
          </w:tcPr>
          <w:p>
            <w:r>
              <w:t>WhatsApp</w:t>
            </w:r>
          </w:p>
        </w:tc>
        <w:tc>
          <w:tcPr>
            <w:tcW w:type="dxa" w:w="3211"/>
          </w:tcPr>
          <w:p>
            <w:r>
              <w:t>Primeira resposta humana até 10 min</w:t>
            </w:r>
          </w:p>
        </w:tc>
        <w:tc>
          <w:tcPr>
            <w:tcW w:type="dxa" w:w="3211"/>
          </w:tcPr>
          <w:p>
            <w:r>
              <w:t>Dúvidas, documentos e chamados</w:t>
            </w:r>
          </w:p>
        </w:tc>
      </w:tr>
      <w:tr>
        <w:tc>
          <w:tcPr>
            <w:tcW w:type="dxa" w:w="3211"/>
          </w:tcPr>
          <w:p>
            <w:r>
              <w:t>App</w:t>
            </w:r>
          </w:p>
        </w:tc>
        <w:tc>
          <w:tcPr>
            <w:tcW w:type="dxa" w:w="3211"/>
          </w:tcPr>
          <w:p>
            <w:r>
              <w:t>Bot imediato; humano até 3 min quando solicitado</w:t>
            </w:r>
          </w:p>
        </w:tc>
        <w:tc>
          <w:tcPr>
            <w:tcW w:type="dxa" w:w="3211"/>
          </w:tcPr>
          <w:p>
            <w:r>
              <w:t>Pedidos e delivery</w:t>
            </w:r>
          </w:p>
        </w:tc>
      </w:tr>
      <w:tr>
        <w:tc>
          <w:tcPr>
            <w:tcW w:type="dxa" w:w="3211"/>
          </w:tcPr>
          <w:p>
            <w:r>
              <w:t>Redes sociais</w:t>
            </w:r>
          </w:p>
        </w:tc>
        <w:tc>
          <w:tcPr>
            <w:tcW w:type="dxa" w:w="3211"/>
          </w:tcPr>
          <w:p>
            <w:r>
              <w:t>Até 1h útil público / 30 min mensagens</w:t>
            </w:r>
          </w:p>
        </w:tc>
        <w:tc>
          <w:tcPr>
            <w:tcW w:type="dxa" w:w="3211"/>
          </w:tcPr>
          <w:p>
            <w:r>
              <w:t>Relacionamento</w:t>
            </w:r>
          </w:p>
        </w:tc>
      </w:tr>
      <w:tr>
        <w:tc>
          <w:tcPr>
            <w:tcW w:type="dxa" w:w="3211"/>
          </w:tcPr>
          <w:p>
            <w:r>
              <w:t>E-mail</w:t>
            </w:r>
          </w:p>
        </w:tc>
        <w:tc>
          <w:tcPr>
            <w:tcW w:type="dxa" w:w="3211"/>
          </w:tcPr>
          <w:p>
            <w:r>
              <w:t>Até 48h úteis</w:t>
            </w:r>
          </w:p>
        </w:tc>
        <w:tc>
          <w:tcPr>
            <w:tcW w:type="dxa" w:w="3211"/>
          </w:tcPr>
          <w:p>
            <w:r>
              <w:t>Demandas formais/LGPD</w:t>
            </w:r>
          </w:p>
        </w:tc>
      </w:tr>
      <w:tr>
        <w:tc>
          <w:tcPr>
            <w:tcW w:type="dxa" w:w="3211"/>
          </w:tcPr>
          <w:p>
            <w:r>
              <w:t>Ouvidoria</w:t>
            </w:r>
          </w:p>
        </w:tc>
        <w:tc>
          <w:tcPr>
            <w:tcW w:type="dxa" w:w="3211"/>
          </w:tcPr>
          <w:p>
            <w:r>
              <w:t>Até 5 dias úteis</w:t>
            </w:r>
          </w:p>
        </w:tc>
        <w:tc>
          <w:tcPr>
            <w:tcW w:type="dxa" w:w="3211"/>
          </w:tcPr>
          <w:p>
            <w:r>
              <w:t>Escalonamentos</w:t>
            </w:r>
          </w:p>
        </w:tc>
      </w:tr>
    </w:tbl>
    <w:p>
      <w:pPr>
        <w:pStyle w:val="Heading1"/>
      </w:pPr>
      <w:r>
        <w:t>4. Abertura e encerramento</w:t>
      </w:r>
    </w:p>
    <w:p>
      <w:r>
        <w:t>Abertura sugerida: "Olá! Você está falando com o Mercado NovaEra 24h. Meu nome é [nome]. Como posso ajudar?"</w:t>
      </w:r>
    </w:p>
    <w:p>
      <w:r>
        <w:t>Encerramento: "Obrigado por escolher o Mercado NovaEra 24h. Sua solicitação foi registrada sob o protocolo [número]. Posso ajudar em mais alguma coisa?"</w:t>
      </w:r>
    </w:p>
    <w:p>
      <w:pPr>
        <w:pStyle w:val="Heading1"/>
      </w:pPr>
      <w:r>
        <w:t>5. Política de trocas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Categoria</w:t>
            </w:r>
          </w:p>
        </w:tc>
        <w:tc>
          <w:tcPr>
            <w:tcW w:type="dxa" w:w="3211"/>
          </w:tcPr>
          <w:p>
            <w:r>
              <w:t>Prazo operacional de reclamação</w:t>
            </w:r>
          </w:p>
        </w:tc>
        <w:tc>
          <w:tcPr>
            <w:tcW w:type="dxa" w:w="3211"/>
          </w:tcPr>
          <w:p>
            <w:r>
              <w:t>Orientação</w:t>
            </w:r>
          </w:p>
        </w:tc>
      </w:tr>
      <w:tr>
        <w:tc>
          <w:tcPr>
            <w:tcW w:type="dxa" w:w="3211"/>
          </w:tcPr>
          <w:p>
            <w:r>
              <w:t>Alimentos e bebidas</w:t>
            </w:r>
          </w:p>
        </w:tc>
        <w:tc>
          <w:tcPr>
            <w:tcW w:type="dxa" w:w="3211"/>
          </w:tcPr>
          <w:p>
            <w:r>
              <w:t>Até 30 dias para vício; perecíveis preferencialmente imediato/24h</w:t>
            </w:r>
          </w:p>
        </w:tc>
        <w:tc>
          <w:tcPr>
            <w:tcW w:type="dxa" w:w="3211"/>
          </w:tcPr>
          <w:p>
            <w:r>
              <w:t>Avaliar produto e condições de conservação.</w:t>
            </w:r>
          </w:p>
        </w:tc>
      </w:tr>
      <w:tr>
        <w:tc>
          <w:tcPr>
            <w:tcW w:type="dxa" w:w="3211"/>
          </w:tcPr>
          <w:p>
            <w:r>
              <w:t>Higiene e limpeza</w:t>
            </w:r>
          </w:p>
        </w:tc>
        <w:tc>
          <w:tcPr>
            <w:tcW w:type="dxa" w:w="3211"/>
          </w:tcPr>
          <w:p>
            <w:r>
              <w:t>Até 30 dias para vício</w:t>
            </w:r>
          </w:p>
        </w:tc>
        <w:tc>
          <w:tcPr>
            <w:tcW w:type="dxa" w:w="3211"/>
          </w:tcPr>
          <w:p>
            <w:r>
              <w:t>Apresentar comprovante quando disponível.</w:t>
            </w:r>
          </w:p>
        </w:tc>
      </w:tr>
      <w:tr>
        <w:tc>
          <w:tcPr>
            <w:tcW w:type="dxa" w:w="3211"/>
          </w:tcPr>
          <w:p>
            <w:r>
              <w:t>Utensílios/eletroportáteis</w:t>
            </w:r>
          </w:p>
        </w:tc>
        <w:tc>
          <w:tcPr>
            <w:tcW w:type="dxa" w:w="3211"/>
          </w:tcPr>
          <w:p>
            <w:r>
              <w:t>Até 90 dias para vício</w:t>
            </w:r>
          </w:p>
        </w:tc>
        <w:tc>
          <w:tcPr>
            <w:tcW w:type="dxa" w:w="3211"/>
          </w:tcPr>
          <w:p>
            <w:r>
              <w:t>Observar garantia e documentação.</w:t>
            </w:r>
          </w:p>
        </w:tc>
      </w:tr>
      <w:tr>
        <w:tc>
          <w:tcPr>
            <w:tcW w:type="dxa" w:w="3211"/>
          </w:tcPr>
          <w:p>
            <w:r>
              <w:t>Produtos in natura a granel</w:t>
            </w:r>
          </w:p>
        </w:tc>
        <w:tc>
          <w:tcPr>
            <w:tcW w:type="dxa" w:w="3211"/>
          </w:tcPr>
          <w:p>
            <w:r>
              <w:t>No ato da compra</w:t>
            </w:r>
          </w:p>
        </w:tc>
        <w:tc>
          <w:tcPr>
            <w:tcW w:type="dxa" w:w="3211"/>
          </w:tcPr>
          <w:p>
            <w:r>
              <w:t>Conferência imediata.</w:t>
            </w:r>
          </w:p>
        </w:tc>
      </w:tr>
    </w:tbl>
    <w:p>
      <w:r>
        <w:t>Os prazos acima são regras operacionais fictícias para o projeto. A aplicação jurídica concreta deve ser validada pelo Jurídico antes de uso real.</w:t>
      </w:r>
    </w:p>
    <w:p>
      <w:pPr>
        <w:pStyle w:val="Heading1"/>
      </w:pPr>
      <w:r>
        <w:t>6. Checklist de troca</w:t>
      </w:r>
    </w:p>
    <w:p>
      <w:pPr>
        <w:pStyle w:val="ListBullet"/>
      </w:pPr>
      <w:r>
        <w:t>Cupom fiscal ou localização da compra no sistema.</w:t>
      </w:r>
    </w:p>
    <w:p>
      <w:pPr>
        <w:pStyle w:val="ListBullet"/>
      </w:pPr>
      <w:r>
        <w:t>Produto e embalagem, quando aplicável.</w:t>
      </w:r>
    </w:p>
    <w:p>
      <w:pPr>
        <w:pStyle w:val="ListBullet"/>
      </w:pPr>
      <w:r>
        <w:t>Identificação do cliente quando necessária.</w:t>
      </w:r>
    </w:p>
    <w:p>
      <w:pPr>
        <w:pStyle w:val="ListBullet"/>
      </w:pPr>
      <w:r>
        <w:t>Registro do motivo da ocorrência.</w:t>
      </w:r>
    </w:p>
    <w:p>
      <w:pPr>
        <w:pStyle w:val="ListBullet"/>
      </w:pPr>
      <w:r>
        <w:t>Classificação: vício, erro operacional ou arrependimento.</w:t>
      </w:r>
    </w:p>
    <w:p>
      <w:pPr>
        <w:pStyle w:val="Heading1"/>
      </w:pPr>
      <w:r>
        <w:t>7. Arrependimento e devolução online</w:t>
      </w:r>
    </w:p>
    <w:p>
      <w:r>
        <w:t>Para compras realizadas fora do estabelecimento, o processo deve registrar a solicitação, classificar o caso, emitir protocolo, definir logística reversa, conferir o produto, aprovar ou recusar fundamentadamente, processar o reembolso e encerrar o protocolo com pesquisa de satisfação.</w:t>
      </w:r>
    </w:p>
    <w:p>
      <w:pPr>
        <w:pStyle w:val="Heading1"/>
      </w:pPr>
      <w:r>
        <w:t>8. Reembolso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Meio</w:t>
            </w:r>
          </w:p>
        </w:tc>
        <w:tc>
          <w:tcPr>
            <w:tcW w:type="dxa" w:w="4816"/>
          </w:tcPr>
          <w:p>
            <w:r>
              <w:t>Prazo operacional fictício</w:t>
            </w:r>
          </w:p>
        </w:tc>
      </w:tr>
      <w:tr>
        <w:tc>
          <w:tcPr>
            <w:tcW w:type="dxa" w:w="4816"/>
          </w:tcPr>
          <w:p>
            <w:r>
              <w:t>Cartão de crédito</w:t>
            </w:r>
          </w:p>
        </w:tc>
        <w:tc>
          <w:tcPr>
            <w:tcW w:type="dxa" w:w="4816"/>
          </w:tcPr>
          <w:p>
            <w:r>
              <w:t>Solicitação à administradora em até 5 dias úteis; prazo final depende da operadora.</w:t>
            </w:r>
          </w:p>
        </w:tc>
      </w:tr>
      <w:tr>
        <w:tc>
          <w:tcPr>
            <w:tcW w:type="dxa" w:w="4816"/>
          </w:tcPr>
          <w:p>
            <w:r>
              <w:t>PIX</w:t>
            </w:r>
          </w:p>
        </w:tc>
        <w:tc>
          <w:tcPr>
            <w:tcW w:type="dxa" w:w="4816"/>
          </w:tcPr>
          <w:p>
            <w:r>
              <w:t>Até 24h úteis após conferência.</w:t>
            </w:r>
          </w:p>
        </w:tc>
      </w:tr>
      <w:tr>
        <w:tc>
          <w:tcPr>
            <w:tcW w:type="dxa" w:w="4816"/>
          </w:tcPr>
          <w:p>
            <w:r>
              <w:t>Dinheiro/débito</w:t>
            </w:r>
          </w:p>
        </w:tc>
        <w:tc>
          <w:tcPr>
            <w:tcW w:type="dxa" w:w="4816"/>
          </w:tcPr>
          <w:p>
            <w:r>
              <w:t>Até 48h, conforme disponibilidade e procedimento financeiro.</w:t>
            </w:r>
          </w:p>
        </w:tc>
      </w:tr>
      <w:tr>
        <w:tc>
          <w:tcPr>
            <w:tcW w:type="dxa" w:w="4816"/>
          </w:tcPr>
          <w:p>
            <w:r>
              <w:t>Vale-compras</w:t>
            </w:r>
          </w:p>
        </w:tc>
        <w:tc>
          <w:tcPr>
            <w:tcW w:type="dxa" w:w="4816"/>
          </w:tcPr>
          <w:p>
            <w:r>
              <w:t>Crédito imediato após aprovação, quando escolhido pelo cliente.</w:t>
            </w:r>
          </w:p>
        </w:tc>
      </w:tr>
    </w:tbl>
    <w:p>
      <w:pPr>
        <w:pStyle w:val="Heading1"/>
      </w:pPr>
      <w:r>
        <w:t>9. Programa De Olho na Validade</w:t>
      </w:r>
    </w:p>
    <w:p>
      <w:r>
        <w:t>Ao identificar produto vencido antes da compra, o cliente deve acionar um colaborador. O item é retirado de circulação, a ocorrência é registrada e a compensação segue a regra interna vigente para o programa.</w:t>
      </w:r>
    </w:p>
    <w:p>
      <w:pPr>
        <w:pStyle w:val="Heading1"/>
      </w:pPr>
      <w:r>
        <w:t>10. Conflitos e Ouvidoria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Nível</w:t>
            </w:r>
          </w:p>
        </w:tc>
        <w:tc>
          <w:tcPr>
            <w:tcW w:type="dxa" w:w="4816"/>
          </w:tcPr>
          <w:p>
            <w:r>
              <w:t>Responsável</w:t>
            </w:r>
          </w:p>
        </w:tc>
      </w:tr>
      <w:tr>
        <w:tc>
          <w:tcPr>
            <w:tcW w:type="dxa" w:w="4816"/>
          </w:tcPr>
          <w:p>
            <w:r>
              <w:t>1</w:t>
            </w:r>
          </w:p>
        </w:tc>
        <w:tc>
          <w:tcPr>
            <w:tcW w:type="dxa" w:w="4816"/>
          </w:tcPr>
          <w:p>
            <w:r>
              <w:t>Operador/Fiscal de loja</w:t>
            </w:r>
          </w:p>
        </w:tc>
      </w:tr>
      <w:tr>
        <w:tc>
          <w:tcPr>
            <w:tcW w:type="dxa" w:w="4816"/>
          </w:tcPr>
          <w:p>
            <w:r>
              <w:t>2</w:t>
            </w:r>
          </w:p>
        </w:tc>
        <w:tc>
          <w:tcPr>
            <w:tcW w:type="dxa" w:w="4816"/>
          </w:tcPr>
          <w:p>
            <w:r>
              <w:t>Supervisor/Gerente</w:t>
            </w:r>
          </w:p>
        </w:tc>
      </w:tr>
      <w:tr>
        <w:tc>
          <w:tcPr>
            <w:tcW w:type="dxa" w:w="4816"/>
          </w:tcPr>
          <w:p>
            <w:r>
              <w:t>3</w:t>
            </w:r>
          </w:p>
        </w:tc>
        <w:tc>
          <w:tcPr>
            <w:tcW w:type="dxa" w:w="4816"/>
          </w:tcPr>
          <w:p>
            <w:r>
              <w:t>Ouvidoria</w:t>
            </w:r>
          </w:p>
        </w:tc>
      </w:tr>
      <w:tr>
        <w:tc>
          <w:tcPr>
            <w:tcW w:type="dxa" w:w="4816"/>
          </w:tcPr>
          <w:p>
            <w:r>
              <w:t>4</w:t>
            </w:r>
          </w:p>
        </w:tc>
        <w:tc>
          <w:tcPr>
            <w:tcW w:type="dxa" w:w="4816"/>
          </w:tcPr>
          <w:p>
            <w:r>
              <w:t>Jurídico/Compliance, quando necessário</w:t>
            </w:r>
          </w:p>
        </w:tc>
      </w:tr>
    </w:tbl>
    <w:p>
      <w:pPr>
        <w:pStyle w:val="Heading1"/>
      </w:pPr>
      <w:r>
        <w:t>11. NovaEra+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Nível</w:t>
            </w:r>
          </w:p>
        </w:tc>
        <w:tc>
          <w:tcPr>
            <w:tcW w:type="dxa" w:w="3211"/>
          </w:tcPr>
          <w:p>
            <w:r>
              <w:t>Pontos em 12 meses</w:t>
            </w:r>
          </w:p>
        </w:tc>
        <w:tc>
          <w:tcPr>
            <w:tcW w:type="dxa" w:w="3211"/>
          </w:tcPr>
          <w:p>
            <w:r>
              <w:t>Benefício</w:t>
            </w:r>
          </w:p>
        </w:tc>
      </w:tr>
      <w:tr>
        <w:tc>
          <w:tcPr>
            <w:tcW w:type="dxa" w:w="3211"/>
          </w:tcPr>
          <w:p>
            <w:r>
              <w:t>Essencial</w:t>
            </w:r>
          </w:p>
        </w:tc>
        <w:tc>
          <w:tcPr>
            <w:tcW w:type="dxa" w:w="3211"/>
          </w:tcPr>
          <w:p>
            <w:r>
              <w:t>0–999</w:t>
            </w:r>
          </w:p>
        </w:tc>
        <w:tc>
          <w:tcPr>
            <w:tcW w:type="dxa" w:w="3211"/>
          </w:tcPr>
          <w:p>
            <w:r>
              <w:t>Ofertas exclusivas</w:t>
            </w:r>
          </w:p>
        </w:tc>
      </w:tr>
      <w:tr>
        <w:tc>
          <w:tcPr>
            <w:tcW w:type="dxa" w:w="3211"/>
          </w:tcPr>
          <w:p>
            <w:r>
              <w:t>Prata</w:t>
            </w:r>
          </w:p>
        </w:tc>
        <w:tc>
          <w:tcPr>
            <w:tcW w:type="dxa" w:w="3211"/>
          </w:tcPr>
          <w:p>
            <w:r>
              <w:t>1.000–2.999</w:t>
            </w:r>
          </w:p>
        </w:tc>
        <w:tc>
          <w:tcPr>
            <w:tcW w:type="dxa" w:w="3211"/>
          </w:tcPr>
          <w:p>
            <w:r>
              <w:t>Ofertas + benefícios de fila</w:t>
            </w:r>
          </w:p>
        </w:tc>
      </w:tr>
      <w:tr>
        <w:tc>
          <w:tcPr>
            <w:tcW w:type="dxa" w:w="3211"/>
          </w:tcPr>
          <w:p>
            <w:r>
              <w:t>Gold</w:t>
            </w:r>
          </w:p>
        </w:tc>
        <w:tc>
          <w:tcPr>
            <w:tcW w:type="dxa" w:w="3211"/>
          </w:tcPr>
          <w:p>
            <w:r>
              <w:t>3.000–6.999</w:t>
            </w:r>
          </w:p>
        </w:tc>
        <w:tc>
          <w:tcPr>
            <w:tcW w:type="dxa" w:w="3211"/>
          </w:tcPr>
          <w:p>
            <w:r>
              <w:t>Ofertas + pré-vendas</w:t>
            </w:r>
          </w:p>
        </w:tc>
      </w:tr>
      <w:tr>
        <w:tc>
          <w:tcPr>
            <w:tcW w:type="dxa" w:w="3211"/>
          </w:tcPr>
          <w:p>
            <w:r>
              <w:t>Diamante</w:t>
            </w:r>
          </w:p>
        </w:tc>
        <w:tc>
          <w:tcPr>
            <w:tcW w:type="dxa" w:w="3211"/>
          </w:tcPr>
          <w:p>
            <w:r>
              <w:t>7.000+</w:t>
            </w:r>
          </w:p>
        </w:tc>
        <w:tc>
          <w:tcPr>
            <w:tcW w:type="dxa" w:w="3211"/>
          </w:tcPr>
          <w:p>
            <w:r>
              <w:t>Benefícios anteriores + atendimento prioritário</w:t>
            </w:r>
          </w:p>
        </w:tc>
      </w:tr>
    </w:tbl>
    <w:p>
      <w:r>
        <w:t>Os pontos são vinculados ao CPF, possuem validade definida pelo regulamento do programa e não podem ser transferidos entre titulares.</w:t>
      </w:r>
    </w:p>
    <w:p>
      <w:pPr>
        <w:pStyle w:val="Heading1"/>
      </w:pPr>
      <w:r>
        <w:t>12. Privacidade e LGPD</w:t>
      </w:r>
    </w:p>
    <w:p>
      <w:pPr>
        <w:pStyle w:val="ListBullet"/>
      </w:pPr>
      <w:r>
        <w:t>Coleta limitada às finalidades informadas.</w:t>
      </w:r>
    </w:p>
    <w:p>
      <w:pPr>
        <w:pStyle w:val="ListBullet"/>
      </w:pPr>
      <w:r>
        <w:t>Acesso restrito por necessidade de trabalho.</w:t>
      </w:r>
    </w:p>
    <w:p>
      <w:pPr>
        <w:pStyle w:val="ListBullet"/>
      </w:pPr>
      <w:r>
        <w:t>Proteção de dados de clientes, colaboradores e fornecedores.</w:t>
      </w:r>
    </w:p>
    <w:p>
      <w:pPr>
        <w:pStyle w:val="ListBullet"/>
      </w:pPr>
      <w:r>
        <w:t>Canal específico para solicitações de titulares.</w:t>
      </w:r>
    </w:p>
    <w:p>
      <w:pPr>
        <w:pStyle w:val="ListBullet"/>
      </w:pPr>
      <w:r>
        <w:t>Registro de incidentes e avaliação de riscos.</w:t>
      </w:r>
    </w:p>
    <w:p>
      <w:pPr>
        <w:pStyle w:val="ListBullet"/>
      </w:pPr>
      <w:r>
        <w:t>Não utilizar dados pessoais para finalidades incompatíveis sem base adequada.</w:t>
      </w:r>
    </w:p>
    <w:p>
      <w:pPr>
        <w:pStyle w:val="Heading1"/>
      </w:pPr>
      <w:r>
        <w:t>13. Acessibilidade</w:t>
      </w:r>
    </w:p>
    <w:p>
      <w:r>
        <w:t>O atendimento deve oferecer prioridade e recursos compatíveis com as necessidades de pessoas com deficiência, idosos e demais públicos legalmente protegidos. Colaboradores devem evitar barreiras e buscar comunicação acessível.</w:t>
      </w:r>
    </w:p>
    <w:p>
      <w:pPr>
        <w:pStyle w:val="Heading1"/>
      </w:pPr>
      <w:r>
        <w:t>14. Indicadores</w:t>
      </w:r>
    </w:p>
    <w:p>
      <w:pPr>
        <w:pStyle w:val="ListBullet"/>
      </w:pPr>
      <w:r>
        <w:t>Tempo médio de primeira resposta.</w:t>
      </w:r>
    </w:p>
    <w:p>
      <w:pPr>
        <w:pStyle w:val="ListBullet"/>
      </w:pPr>
      <w:r>
        <w:t>Tempo médio de resolução.</w:t>
      </w:r>
    </w:p>
    <w:p>
      <w:pPr>
        <w:pStyle w:val="ListBullet"/>
      </w:pPr>
      <w:r>
        <w:t>Resolução no primeiro contato.</w:t>
      </w:r>
    </w:p>
    <w:p>
      <w:pPr>
        <w:pStyle w:val="ListBullet"/>
      </w:pPr>
      <w:r>
        <w:t>Reclamações reabertas.</w:t>
      </w:r>
    </w:p>
    <w:p>
      <w:pPr>
        <w:pStyle w:val="ListBullet"/>
      </w:pPr>
      <w:r>
        <w:t>NPS/CSAT.</w:t>
      </w:r>
    </w:p>
    <w:p>
      <w:pPr>
        <w:pStyle w:val="ListBullet"/>
      </w:pPr>
      <w:r>
        <w:t>Volume por canal.</w:t>
      </w:r>
    </w:p>
    <w:p>
      <w:pPr>
        <w:pStyle w:val="ListBullet"/>
      </w:pPr>
      <w:r>
        <w:t>Percentual de demandas dentro do SLA.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Mercado NovaEra 24h S.A. | Documento fictício para projeto de referência | Versão 1.0 —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