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</w:r>
    </w:p>
    <w:p>
      <w:pPr>
        <w:jc w:val="center"/>
      </w:pPr>
      <w:r>
        <w:rPr>
          <w:b/>
          <w:sz w:val="50"/>
        </w:rPr>
        <w:t>DOCUMENTO 04 — MANUAL DE FORNECEDORES E POLÍTICA DE COMPRAS</w:t>
      </w:r>
    </w:p>
    <w:p>
      <w:pPr>
        <w:jc w:val="center"/>
      </w:pPr>
      <w:r>
        <w:rPr>
          <w:i/>
        </w:rPr>
        <w:t>Mercado NovaEra 24h</w:t>
      </w:r>
    </w:p>
    <w:p>
      <w:r>
        <w:br/>
      </w:r>
    </w:p>
    <w:p>
      <w:pPr>
        <w:jc w:val="center"/>
      </w:pPr>
      <w:r>
        <w:rPr>
          <w:b/>
        </w:rPr>
        <w:t>Mercado NovaEra 24h S.A.</w:t>
        <w:br/>
        <w:t>Versão 1.0 — Agosto de 2026</w:t>
        <w:br/>
        <w:t>Documento corporativo fictício</w:t>
        <w:br/>
        <w:br/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Estabelecer critérios para seleção, homologação, contratação, avaliação, recebimento, devolução, pagamento e desenvolvimento de fornecedores de mercadorias para revenda e prestadores de serviços.</w:t>
      </w:r>
    </w:p>
    <w:p>
      <w:pPr>
        <w:pStyle w:val="Heading1"/>
      </w:pPr>
      <w:r>
        <w:t>2. Princípios de compras</w:t>
      </w:r>
    </w:p>
    <w:p>
      <w:pPr>
        <w:pStyle w:val="ListBullet"/>
      </w:pPr>
      <w:r>
        <w:t>Qualidade e segurança dos produtos.</w:t>
      </w:r>
    </w:p>
    <w:p>
      <w:pPr>
        <w:pStyle w:val="ListBullet"/>
      </w:pPr>
      <w:r>
        <w:t>Competitividade econômica.</w:t>
      </w:r>
    </w:p>
    <w:p>
      <w:pPr>
        <w:pStyle w:val="ListBullet"/>
      </w:pPr>
      <w:r>
        <w:t>Confiabilidade logística.</w:t>
      </w:r>
    </w:p>
    <w:p>
      <w:pPr>
        <w:pStyle w:val="ListBullet"/>
      </w:pPr>
      <w:r>
        <w:t>Conformidade fiscal, sanitária e contratual.</w:t>
      </w:r>
    </w:p>
    <w:p>
      <w:pPr>
        <w:pStyle w:val="ListBullet"/>
      </w:pPr>
      <w:r>
        <w:t>Rastreabilidade.</w:t>
      </w:r>
    </w:p>
    <w:p>
      <w:pPr>
        <w:pStyle w:val="ListBullet"/>
      </w:pPr>
      <w:r>
        <w:t>Ética e ausência de conflito de interesses.</w:t>
      </w:r>
    </w:p>
    <w:p>
      <w:pPr>
        <w:pStyle w:val="ListBullet"/>
      </w:pPr>
      <w:r>
        <w:t>Sustentabilidade e valorização de fornecedores locais.</w:t>
      </w:r>
    </w:p>
    <w:p>
      <w:pPr>
        <w:pStyle w:val="Heading1"/>
      </w:pPr>
      <w:r>
        <w:t>3. Sistema de avaliação de fornecedores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Critério</w:t>
            </w:r>
          </w:p>
        </w:tc>
        <w:tc>
          <w:tcPr>
            <w:tcW w:type="dxa" w:w="4816"/>
          </w:tcPr>
          <w:p>
            <w:r>
              <w:t>Peso</w:t>
            </w:r>
          </w:p>
        </w:tc>
      </w:tr>
      <w:tr>
        <w:tc>
          <w:tcPr>
            <w:tcW w:type="dxa" w:w="4816"/>
          </w:tcPr>
          <w:p>
            <w:r>
              <w:t>Qualidade</w:t>
            </w:r>
          </w:p>
        </w:tc>
        <w:tc>
          <w:tcPr>
            <w:tcW w:type="dxa" w:w="4816"/>
          </w:tcPr>
          <w:p>
            <w:r>
              <w:t>35</w:t>
            </w:r>
          </w:p>
        </w:tc>
      </w:tr>
      <w:tr>
        <w:tc>
          <w:tcPr>
            <w:tcW w:type="dxa" w:w="4816"/>
          </w:tcPr>
          <w:p>
            <w:r>
              <w:t>Preço</w:t>
            </w:r>
          </w:p>
        </w:tc>
        <w:tc>
          <w:tcPr>
            <w:tcW w:type="dxa" w:w="4816"/>
          </w:tcPr>
          <w:p>
            <w:r>
              <w:t>25</w:t>
            </w:r>
          </w:p>
        </w:tc>
      </w:tr>
      <w:tr>
        <w:tc>
          <w:tcPr>
            <w:tcW w:type="dxa" w:w="4816"/>
          </w:tcPr>
          <w:p>
            <w:r>
              <w:t>Pontualidade/OTIF</w:t>
            </w:r>
          </w:p>
        </w:tc>
        <w:tc>
          <w:tcPr>
            <w:tcW w:type="dxa" w:w="4816"/>
          </w:tcPr>
          <w:p>
            <w:r>
              <w:t>25</w:t>
            </w:r>
          </w:p>
        </w:tc>
      </w:tr>
      <w:tr>
        <w:tc>
          <w:tcPr>
            <w:tcW w:type="dxa" w:w="4816"/>
          </w:tcPr>
          <w:p>
            <w:r>
              <w:t>Capacidade de fornecimento</w:t>
            </w:r>
          </w:p>
        </w:tc>
        <w:tc>
          <w:tcPr>
            <w:tcW w:type="dxa" w:w="4816"/>
          </w:tcPr>
          <w:p>
            <w:r>
              <w:t>15</w:t>
            </w:r>
          </w:p>
        </w:tc>
      </w:tr>
    </w:tbl>
    <w:p>
      <w:r>
        <w:t>A Nota Final Ponderada (NFP) é calculada a partir das notas de 0 a 10 atribuídas aos critérios e convertida para escala de 0 a 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Faixa</w:t>
            </w:r>
          </w:p>
        </w:tc>
        <w:tc>
          <w:tcPr>
            <w:tcW w:type="dxa" w:w="3211"/>
          </w:tcPr>
          <w:p>
            <w:r>
              <w:t>Classificação</w:t>
            </w:r>
          </w:p>
        </w:tc>
        <w:tc>
          <w:tcPr>
            <w:tcW w:type="dxa" w:w="3211"/>
          </w:tcPr>
          <w:p>
            <w:r>
              <w:t>Tratamento</w:t>
            </w:r>
          </w:p>
        </w:tc>
      </w:tr>
      <w:tr>
        <w:tc>
          <w:tcPr>
            <w:tcW w:type="dxa" w:w="3211"/>
          </w:tcPr>
          <w:p>
            <w:r>
              <w:t>90–100</w:t>
            </w:r>
          </w:p>
        </w:tc>
        <w:tc>
          <w:tcPr>
            <w:tcW w:type="dxa" w:w="3211"/>
          </w:tcPr>
          <w:p>
            <w:r>
              <w:t>Ouro</w:t>
            </w:r>
          </w:p>
        </w:tc>
        <w:tc>
          <w:tcPr>
            <w:tcW w:type="dxa" w:w="3211"/>
          </w:tcPr>
          <w:p>
            <w:r>
              <w:t>Prioridade comercial e desenvolvimento.</w:t>
            </w:r>
          </w:p>
        </w:tc>
      </w:tr>
      <w:tr>
        <w:tc>
          <w:tcPr>
            <w:tcW w:type="dxa" w:w="3211"/>
          </w:tcPr>
          <w:p>
            <w:r>
              <w:t>70–89</w:t>
            </w:r>
          </w:p>
        </w:tc>
        <w:tc>
          <w:tcPr>
            <w:tcW w:type="dxa" w:w="3211"/>
          </w:tcPr>
          <w:p>
            <w:r>
              <w:t>Prata</w:t>
            </w:r>
          </w:p>
        </w:tc>
        <w:tc>
          <w:tcPr>
            <w:tcW w:type="dxa" w:w="3211"/>
          </w:tcPr>
          <w:p>
            <w:r>
              <w:t>Parceria mantida e melhorias pontuais.</w:t>
            </w:r>
          </w:p>
        </w:tc>
      </w:tr>
      <w:tr>
        <w:tc>
          <w:tcPr>
            <w:tcW w:type="dxa" w:w="3211"/>
          </w:tcPr>
          <w:p>
            <w:r>
              <w:t>50–69</w:t>
            </w:r>
          </w:p>
        </w:tc>
        <w:tc>
          <w:tcPr>
            <w:tcW w:type="dxa" w:w="3211"/>
          </w:tcPr>
          <w:p>
            <w:r>
              <w:t>Bronze</w:t>
            </w:r>
          </w:p>
        </w:tc>
        <w:tc>
          <w:tcPr>
            <w:tcW w:type="dxa" w:w="3211"/>
          </w:tcPr>
          <w:p>
            <w:r>
              <w:t>Plano de ação formal.</w:t>
            </w:r>
          </w:p>
        </w:tc>
      </w:tr>
      <w:tr>
        <w:tc>
          <w:tcPr>
            <w:tcW w:type="dxa" w:w="3211"/>
          </w:tcPr>
          <w:p>
            <w:r>
              <w:t>&lt;50</w:t>
            </w:r>
          </w:p>
        </w:tc>
        <w:tc>
          <w:tcPr>
            <w:tcW w:type="dxa" w:w="3211"/>
          </w:tcPr>
          <w:p>
            <w:r>
              <w:t>Em risco</w:t>
            </w:r>
          </w:p>
        </w:tc>
        <w:tc>
          <w:tcPr>
            <w:tcW w:type="dxa" w:w="3211"/>
          </w:tcPr>
          <w:p>
            <w:r>
              <w:t>Auditoria e possível descredenciamento.</w:t>
            </w:r>
          </w:p>
        </w:tc>
      </w:tr>
    </w:tbl>
    <w:p>
      <w:pPr>
        <w:pStyle w:val="Heading1"/>
      </w:pPr>
      <w:r>
        <w:t>4. Classes de fornecedores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Classe</w:t>
            </w:r>
          </w:p>
        </w:tc>
        <w:tc>
          <w:tcPr>
            <w:tcW w:type="dxa" w:w="3211"/>
          </w:tcPr>
          <w:p>
            <w:r>
              <w:t>Volume mensal de referência</w:t>
            </w:r>
          </w:p>
        </w:tc>
        <w:tc>
          <w:tcPr>
            <w:tcW w:type="dxa" w:w="3211"/>
          </w:tcPr>
          <w:p>
            <w:r>
              <w:t>Criticidade</w:t>
            </w:r>
          </w:p>
        </w:tc>
      </w:tr>
      <w:tr>
        <w:tc>
          <w:tcPr>
            <w:tcW w:type="dxa" w:w="3211"/>
          </w:tcPr>
          <w:p>
            <w:r>
              <w:t>A</w:t>
            </w:r>
          </w:p>
        </w:tc>
        <w:tc>
          <w:tcPr>
            <w:tcW w:type="dxa" w:w="3211"/>
          </w:tcPr>
          <w:p>
            <w:r>
              <w:t>Acima de R$ 180.000</w:t>
            </w:r>
          </w:p>
        </w:tc>
        <w:tc>
          <w:tcPr>
            <w:tcW w:type="dxa" w:w="3211"/>
          </w:tcPr>
          <w:p>
            <w:r>
              <w:t>Alta</w:t>
            </w:r>
          </w:p>
        </w:tc>
      </w:tr>
      <w:tr>
        <w:tc>
          <w:tcPr>
            <w:tcW w:type="dxa" w:w="3211"/>
          </w:tcPr>
          <w:p>
            <w:r>
              <w:t>B</w:t>
            </w:r>
          </w:p>
        </w:tc>
        <w:tc>
          <w:tcPr>
            <w:tcW w:type="dxa" w:w="3211"/>
          </w:tcPr>
          <w:p>
            <w:r>
              <w:t>R$ 40.000 a R$ 180.000</w:t>
            </w:r>
          </w:p>
        </w:tc>
        <w:tc>
          <w:tcPr>
            <w:tcW w:type="dxa" w:w="3211"/>
          </w:tcPr>
          <w:p>
            <w:r>
              <w:t>Média</w:t>
            </w:r>
          </w:p>
        </w:tc>
      </w:tr>
      <w:tr>
        <w:tc>
          <w:tcPr>
            <w:tcW w:type="dxa" w:w="3211"/>
          </w:tcPr>
          <w:p>
            <w:r>
              <w:t>C</w:t>
            </w:r>
          </w:p>
        </w:tc>
        <w:tc>
          <w:tcPr>
            <w:tcW w:type="dxa" w:w="3211"/>
          </w:tcPr>
          <w:p>
            <w:r>
              <w:t>Abaixo de R$ 40.000</w:t>
            </w:r>
          </w:p>
        </w:tc>
        <w:tc>
          <w:tcPr>
            <w:tcW w:type="dxa" w:w="3211"/>
          </w:tcPr>
          <w:p>
            <w:r>
              <w:t>Baixa</w:t>
            </w:r>
          </w:p>
        </w:tc>
      </w:tr>
    </w:tbl>
    <w:p>
      <w:pPr>
        <w:pStyle w:val="Heading1"/>
      </w:pPr>
      <w:r>
        <w:t>5. Homologação</w:t>
      </w:r>
    </w:p>
    <w:p>
      <w:pPr>
        <w:pStyle w:val="ListBullet"/>
      </w:pPr>
      <w:r>
        <w:t>CNPJ e documentos societários.</w:t>
      </w:r>
    </w:p>
    <w:p>
      <w:pPr>
        <w:pStyle w:val="ListBullet"/>
      </w:pPr>
      <w:r>
        <w:t>Inscrições fiscais aplicáveis.</w:t>
      </w:r>
    </w:p>
    <w:p>
      <w:pPr>
        <w:pStyle w:val="ListBullet"/>
      </w:pPr>
      <w:r>
        <w:t>Certidões de regularidade.</w:t>
      </w:r>
    </w:p>
    <w:p>
      <w:pPr>
        <w:pStyle w:val="ListBullet"/>
      </w:pPr>
      <w:r>
        <w:t>Licenças sanitárias para categorias sujeitas a controle.</w:t>
      </w:r>
    </w:p>
    <w:p>
      <w:pPr>
        <w:pStyle w:val="ListBullet"/>
      </w:pPr>
      <w:r>
        <w:t>Dados bancários e representantes autorizados.</w:t>
      </w:r>
    </w:p>
    <w:p>
      <w:pPr>
        <w:pStyle w:val="ListBullet"/>
      </w:pPr>
      <w:r>
        <w:t>Documentos de qualidade e certificações quando aplicáveis.</w:t>
      </w:r>
    </w:p>
    <w:p>
      <w:pPr>
        <w:pStyle w:val="ListBullet"/>
      </w:pPr>
      <w:r>
        <w:t>Avaliação de capacidade logística.</w:t>
      </w:r>
    </w:p>
    <w:p>
      <w:pPr>
        <w:pStyle w:val="ListBullet"/>
      </w:pPr>
      <w:r>
        <w:t>Visita técnica para fornecedores críticos de perecíveis, quando necessária.</w:t>
      </w:r>
    </w:p>
    <w:p>
      <w:pPr>
        <w:pStyle w:val="Heading1"/>
      </w:pPr>
      <w:r>
        <w:t>6. Pedido de compra e alçadas</w:t>
      </w:r>
    </w:p>
    <w:p>
      <w:r>
        <w:t>Nenhum fornecedor deve iniciar fornecimento sem pedido ou contrato válido, salvo procedimento emergencial formalmente autorizado. A aprovação segue alçadas definidas por valor, categoria e orçamento.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Valor/criticidade</w:t>
            </w:r>
          </w:p>
        </w:tc>
        <w:tc>
          <w:tcPr>
            <w:tcW w:type="dxa" w:w="4816"/>
          </w:tcPr>
          <w:p>
            <w:r>
              <w:t>Aprovação mínima</w:t>
            </w:r>
          </w:p>
        </w:tc>
      </w:tr>
      <w:tr>
        <w:tc>
          <w:tcPr>
            <w:tcW w:type="dxa" w:w="4816"/>
          </w:tcPr>
          <w:p>
            <w:r>
              <w:t>Compra operacional até R$ 10 mil</w:t>
            </w:r>
          </w:p>
        </w:tc>
        <w:tc>
          <w:tcPr>
            <w:tcW w:type="dxa" w:w="4816"/>
          </w:tcPr>
          <w:p>
            <w:r>
              <w:t>Gestor responsável</w:t>
            </w:r>
          </w:p>
        </w:tc>
      </w:tr>
      <w:tr>
        <w:tc>
          <w:tcPr>
            <w:tcW w:type="dxa" w:w="4816"/>
          </w:tcPr>
          <w:p>
            <w:r>
              <w:t>R$ 10 mil–50 mil</w:t>
            </w:r>
          </w:p>
        </w:tc>
        <w:tc>
          <w:tcPr>
            <w:tcW w:type="dxa" w:w="4816"/>
          </w:tcPr>
          <w:p>
            <w:r>
              <w:t>Gestor + Compras</w:t>
            </w:r>
          </w:p>
        </w:tc>
      </w:tr>
      <w:tr>
        <w:tc>
          <w:tcPr>
            <w:tcW w:type="dxa" w:w="4816"/>
          </w:tcPr>
          <w:p>
            <w:r>
              <w:t>R$ 50 mil–200 mil</w:t>
            </w:r>
          </w:p>
        </w:tc>
        <w:tc>
          <w:tcPr>
            <w:tcW w:type="dxa" w:w="4816"/>
          </w:tcPr>
          <w:p>
            <w:r>
              <w:t>Gerência + Compras</w:t>
            </w:r>
          </w:p>
        </w:tc>
      </w:tr>
      <w:tr>
        <w:tc>
          <w:tcPr>
            <w:tcW w:type="dxa" w:w="4816"/>
          </w:tcPr>
          <w:p>
            <w:r>
              <w:t>Acima de R$ 200 mil</w:t>
            </w:r>
          </w:p>
        </w:tc>
        <w:tc>
          <w:tcPr>
            <w:tcW w:type="dxa" w:w="4816"/>
          </w:tcPr>
          <w:p>
            <w:r>
              <w:t>Diretoria responsável + Compras</w:t>
            </w:r>
          </w:p>
        </w:tc>
      </w:tr>
      <w:tr>
        <w:tc>
          <w:tcPr>
            <w:tcW w:type="dxa" w:w="4816"/>
          </w:tcPr>
          <w:p>
            <w:r>
              <w:t>Exceções críticas</w:t>
            </w:r>
          </w:p>
        </w:tc>
        <w:tc>
          <w:tcPr>
            <w:tcW w:type="dxa" w:w="4816"/>
          </w:tcPr>
          <w:p>
            <w:r>
              <w:t>Diretoria/Comitê, conforme risco</w:t>
            </w:r>
          </w:p>
        </w:tc>
      </w:tr>
    </w:tbl>
    <w:p>
      <w:pPr>
        <w:pStyle w:val="Heading1"/>
      </w:pPr>
      <w:r>
        <w:t>7. Recebimento de mercadorias</w:t>
      </w:r>
    </w:p>
    <w:p>
      <w:r>
        <w:t>Fluxo: chegada do veículo → conferência da ordem de compra → validação fiscal → conferência de temperatura quando aplicável → conferência de quantidade/EAN → registro de divergências → entrada no sistema → liberação ao estoque.</w:t>
      </w:r>
    </w:p>
    <w:p>
      <w:pPr>
        <w:pStyle w:val="Heading1"/>
      </w:pPr>
      <w:r>
        <w:t>8. Regras para perecíveis</w:t>
      </w:r>
    </w:p>
    <w:p>
      <w:pPr>
        <w:pStyle w:val="ListBullet"/>
      </w:pPr>
      <w:r>
        <w:t>Temperatura deve estar dentro da especificação do produto.</w:t>
      </w:r>
    </w:p>
    <w:p>
      <w:pPr>
        <w:pStyle w:val="ListBullet"/>
      </w:pPr>
      <w:r>
        <w:t>Embalagens devem estar íntegras.</w:t>
      </w:r>
    </w:p>
    <w:p>
      <w:pPr>
        <w:pStyle w:val="ListBullet"/>
      </w:pPr>
      <w:r>
        <w:t>Lotes e validade devem ser conferidos.</w:t>
      </w:r>
    </w:p>
    <w:p>
      <w:pPr>
        <w:pStyle w:val="ListBullet"/>
      </w:pPr>
      <w:r>
        <w:t>Produtos fora do padrão podem ser recusados.</w:t>
      </w:r>
    </w:p>
    <w:p>
      <w:pPr>
        <w:pStyle w:val="ListBullet"/>
      </w:pPr>
      <w:r>
        <w:t>Divergências devem gerar registro de ocorrência.</w:t>
      </w:r>
    </w:p>
    <w:p>
      <w:pPr>
        <w:pStyle w:val="Heading1"/>
      </w:pPr>
      <w:r>
        <w:t>9. Devolução ao fornecedor</w:t>
      </w:r>
    </w:p>
    <w:p>
      <w:r>
        <w:t>Devoluções podem ocorrer por avaria, divergência de quantidade, validade inadequada, não conformidade sanitária, erro de pedido ou descumprimento contratual. A ocorrência deve possuir evidência e documento fiscal correspondente quando aplicável.</w:t>
      </w:r>
    </w:p>
    <w:p>
      <w:pPr>
        <w:pStyle w:val="Heading1"/>
      </w:pPr>
      <w:r>
        <w:t>10. Condições de pagamento</w:t>
      </w:r>
    </w:p>
    <w:p>
      <w:r>
        <w:t>O prazo de pagamento será o previsto em contrato ou pedido de compra. Antecipações somente serão autorizadas mediante análise financeira e regras específicas do fornecedor.</w:t>
      </w:r>
    </w:p>
    <w:p>
      <w:pPr>
        <w:pStyle w:val="Heading1"/>
      </w:pPr>
      <w:r>
        <w:t>11. Sustentabilidade</w:t>
      </w:r>
    </w:p>
    <w:p>
      <w:pPr>
        <w:pStyle w:val="ListBullet"/>
      </w:pPr>
      <w:r>
        <w:t>Priorizar produtores locais e regionais qualificados.</w:t>
      </w:r>
    </w:p>
    <w:p>
      <w:pPr>
        <w:pStyle w:val="ListBullet"/>
      </w:pPr>
      <w:r>
        <w:t>Estimular agricultura familiar quando compatível com qualidade e escala.</w:t>
      </w:r>
    </w:p>
    <w:p>
      <w:pPr>
        <w:pStyle w:val="ListBullet"/>
      </w:pPr>
      <w:r>
        <w:t>Reduzir embalagens descartáveis.</w:t>
      </w:r>
    </w:p>
    <w:p>
      <w:pPr>
        <w:pStyle w:val="ListBullet"/>
      </w:pPr>
      <w:r>
        <w:t>Priorizar caixas retornáveis em operações adequadas.</w:t>
      </w:r>
    </w:p>
    <w:p>
      <w:pPr>
        <w:pStyle w:val="ListBullet"/>
      </w:pPr>
      <w:r>
        <w:t>Considerar certificações ambientais na avaliação.</w:t>
      </w:r>
    </w:p>
    <w:p>
      <w:pPr>
        <w:pStyle w:val="Heading1"/>
      </w:pPr>
      <w:r>
        <w:t>12. Ética e compliance</w:t>
      </w:r>
    </w:p>
    <w:p>
      <w:pPr>
        <w:pStyle w:val="ListBullet"/>
      </w:pPr>
      <w:r>
        <w:t>É proibido oferecer ou receber vantagem indevida.</w:t>
      </w:r>
    </w:p>
    <w:p>
      <w:pPr>
        <w:pStyle w:val="ListBullet"/>
      </w:pPr>
      <w:r>
        <w:t>Conflitos de interesse devem ser declarados.</w:t>
      </w:r>
    </w:p>
    <w:p>
      <w:pPr>
        <w:pStyle w:val="ListBullet"/>
      </w:pPr>
      <w:r>
        <w:t>Brindes devem observar política corporativa.</w:t>
      </w:r>
    </w:p>
    <w:p>
      <w:pPr>
        <w:pStyle w:val="ListBullet"/>
      </w:pPr>
      <w:r>
        <w:t>Práticas de trabalho infantil ou análogo ao escravo são incompatíveis com a relação comercial.</w:t>
      </w:r>
    </w:p>
    <w:p>
      <w:pPr>
        <w:pStyle w:val="ListBullet"/>
      </w:pPr>
      <w:r>
        <w:t>Canal de Ética recebe relatos sobre irregularidades.</w:t>
      </w:r>
    </w:p>
    <w:p>
      <w:pPr>
        <w:pStyle w:val="ListBullet"/>
      </w:pPr>
      <w:r>
        <w:t>Violações podem gerar plano de ação, suspensão ou descredenciamento.</w:t>
      </w:r>
    </w:p>
    <w:p>
      <w:pPr>
        <w:pStyle w:val="Heading1"/>
      </w:pPr>
      <w:r>
        <w:t>13.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KPI</w:t>
            </w:r>
          </w:p>
        </w:tc>
        <w:tc>
          <w:tcPr>
            <w:tcW w:type="dxa" w:w="4816"/>
          </w:tcPr>
          <w:p>
            <w:r>
              <w:t>Meta de referência</w:t>
            </w:r>
          </w:p>
        </w:tc>
      </w:tr>
      <w:tr>
        <w:tc>
          <w:tcPr>
            <w:tcW w:type="dxa" w:w="4816"/>
          </w:tcPr>
          <w:p>
            <w:r>
              <w:t>OTIF</w:t>
            </w:r>
          </w:p>
        </w:tc>
        <w:tc>
          <w:tcPr>
            <w:tcW w:type="dxa" w:w="4816"/>
          </w:tcPr>
          <w:p>
            <w:r>
              <w:t>&gt;95%</w:t>
            </w:r>
          </w:p>
        </w:tc>
      </w:tr>
      <w:tr>
        <w:tc>
          <w:tcPr>
            <w:tcW w:type="dxa" w:w="4816"/>
          </w:tcPr>
          <w:p>
            <w:r>
              <w:t>Fill Rate</w:t>
            </w:r>
          </w:p>
        </w:tc>
        <w:tc>
          <w:tcPr>
            <w:tcW w:type="dxa" w:w="4816"/>
          </w:tcPr>
          <w:p>
            <w:r>
              <w:t>&gt;98%</w:t>
            </w:r>
          </w:p>
        </w:tc>
      </w:tr>
      <w:tr>
        <w:tc>
          <w:tcPr>
            <w:tcW w:type="dxa" w:w="4816"/>
          </w:tcPr>
          <w:p>
            <w:r>
              <w:t>Avarias</w:t>
            </w:r>
          </w:p>
        </w:tc>
        <w:tc>
          <w:tcPr>
            <w:tcW w:type="dxa" w:w="4816"/>
          </w:tcPr>
          <w:p>
            <w:r>
              <w:t>&lt;0,5%</w:t>
            </w:r>
          </w:p>
        </w:tc>
      </w:tr>
      <w:tr>
        <w:tc>
          <w:tcPr>
            <w:tcW w:type="dxa" w:w="4816"/>
          </w:tcPr>
          <w:p>
            <w:r>
              <w:t>Pontualidade</w:t>
            </w:r>
          </w:p>
        </w:tc>
        <w:tc>
          <w:tcPr>
            <w:tcW w:type="dxa" w:w="4816"/>
          </w:tcPr>
          <w:p>
            <w:r>
              <w:t>&gt;95%</w:t>
            </w:r>
          </w:p>
        </w:tc>
      </w:tr>
      <w:tr>
        <w:tc>
          <w:tcPr>
            <w:tcW w:type="dxa" w:w="4816"/>
          </w:tcPr>
          <w:p>
            <w:r>
              <w:t>Conformidade fiscal</w:t>
            </w:r>
          </w:p>
        </w:tc>
        <w:tc>
          <w:tcPr>
            <w:tcW w:type="dxa" w:w="4816"/>
          </w:tcPr>
          <w:p>
            <w:r>
              <w:t>100%</w:t>
            </w:r>
          </w:p>
        </w:tc>
      </w:tr>
      <w:tr>
        <w:tc>
          <w:tcPr>
            <w:tcW w:type="dxa" w:w="4816"/>
          </w:tcPr>
          <w:p>
            <w:r>
              <w:t>Nível de serviço</w:t>
            </w:r>
          </w:p>
        </w:tc>
        <w:tc>
          <w:tcPr>
            <w:tcW w:type="dxa" w:w="4816"/>
          </w:tcPr>
          <w:p>
            <w:r>
              <w:t>Até 24h para chamados operacionais</w:t>
            </w:r>
          </w:p>
        </w:tc>
      </w:tr>
    </w:tbl>
    <w:p>
      <w:pPr>
        <w:pStyle w:val="Heading1"/>
      </w:pPr>
      <w:r>
        <w:t>14. Calendário 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Período</w:t>
            </w:r>
          </w:p>
        </w:tc>
        <w:tc>
          <w:tcPr>
            <w:tcW w:type="dxa" w:w="4816"/>
          </w:tcPr>
          <w:p>
            <w:r>
              <w:t>Atividade</w:t>
            </w:r>
          </w:p>
        </w:tc>
      </w:tr>
      <w:tr>
        <w:tc>
          <w:tcPr>
            <w:tcW w:type="dxa" w:w="4816"/>
          </w:tcPr>
          <w:p>
            <w:r>
              <w:t>Janeiro</w:t>
            </w:r>
          </w:p>
        </w:tc>
        <w:tc>
          <w:tcPr>
            <w:tcW w:type="dxa" w:w="4816"/>
          </w:tcPr>
          <w:p>
            <w:r>
              <w:t>Revisão de contratos estratégicos</w:t>
            </w:r>
          </w:p>
        </w:tc>
      </w:tr>
      <w:tr>
        <w:tc>
          <w:tcPr>
            <w:tcW w:type="dxa" w:w="4816"/>
          </w:tcPr>
          <w:p>
            <w:r>
              <w:t>Março</w:t>
            </w:r>
          </w:p>
        </w:tc>
        <w:tc>
          <w:tcPr>
            <w:tcW w:type="dxa" w:w="4816"/>
          </w:tcPr>
          <w:p>
            <w:r>
              <w:t>Negociação de campanhas sazonais</w:t>
            </w:r>
          </w:p>
        </w:tc>
      </w:tr>
      <w:tr>
        <w:tc>
          <w:tcPr>
            <w:tcW w:type="dxa" w:w="4816"/>
          </w:tcPr>
          <w:p>
            <w:r>
              <w:t>Maio</w:t>
            </w:r>
          </w:p>
        </w:tc>
        <w:tc>
          <w:tcPr>
            <w:tcW w:type="dxa" w:w="4816"/>
          </w:tcPr>
          <w:p>
            <w:r>
              <w:t>Avaliação semestral</w:t>
            </w:r>
          </w:p>
        </w:tc>
      </w:tr>
      <w:tr>
        <w:tc>
          <w:tcPr>
            <w:tcW w:type="dxa" w:w="4816"/>
          </w:tcPr>
          <w:p>
            <w:r>
              <w:t>Julho</w:t>
            </w:r>
          </w:p>
        </w:tc>
        <w:tc>
          <w:tcPr>
            <w:tcW w:type="dxa" w:w="4816"/>
          </w:tcPr>
          <w:p>
            <w:r>
              <w:t>Atualização de documentação</w:t>
            </w:r>
          </w:p>
        </w:tc>
      </w:tr>
      <w:tr>
        <w:tc>
          <w:tcPr>
            <w:tcW w:type="dxa" w:w="4816"/>
          </w:tcPr>
          <w:p>
            <w:r>
              <w:t>Agosto</w:t>
            </w:r>
          </w:p>
        </w:tc>
        <w:tc>
          <w:tcPr>
            <w:tcW w:type="dxa" w:w="4816"/>
          </w:tcPr>
          <w:p>
            <w:r>
              <w:t>Negociações para segundo semestre</w:t>
            </w:r>
          </w:p>
        </w:tc>
      </w:tr>
      <w:tr>
        <w:tc>
          <w:tcPr>
            <w:tcW w:type="dxa" w:w="4816"/>
          </w:tcPr>
          <w:p>
            <w:r>
              <w:t>Outubro</w:t>
            </w:r>
          </w:p>
        </w:tc>
        <w:tc>
          <w:tcPr>
            <w:tcW w:type="dxa" w:w="4816"/>
          </w:tcPr>
          <w:p>
            <w:r>
              <w:t>Revisão de preços e abastecimento natalino</w:t>
            </w:r>
          </w:p>
        </w:tc>
      </w:tr>
      <w:tr>
        <w:tc>
          <w:tcPr>
            <w:tcW w:type="dxa" w:w="4816"/>
          </w:tcPr>
          <w:p>
            <w:r>
              <w:t>Novembro</w:t>
            </w:r>
          </w:p>
        </w:tc>
        <w:tc>
          <w:tcPr>
            <w:tcW w:type="dxa" w:w="4816"/>
          </w:tcPr>
          <w:p>
            <w:r>
              <w:t>Nova avaliação de desempenho</w:t>
            </w:r>
          </w:p>
        </w:tc>
      </w:tr>
      <w:tr>
        <w:tc>
          <w:tcPr>
            <w:tcW w:type="dxa" w:w="4816"/>
          </w:tcPr>
          <w:p>
            <w:r>
              <w:t>Dezembro</w:t>
            </w:r>
          </w:p>
        </w:tc>
        <w:tc>
          <w:tcPr>
            <w:tcW w:type="dxa" w:w="4816"/>
          </w:tcPr>
          <w:p>
            <w:r>
              <w:t>Business Review e planejamento do ano seguinte</w:t>
            </w:r>
          </w:p>
        </w:tc>
      </w:tr>
    </w:tbl>
    <w:p>
      <w:pPr>
        <w:pStyle w:val="Heading1"/>
      </w:pPr>
      <w:r>
        <w:t>15. Formulário de 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Campo</w:t>
            </w:r>
          </w:p>
        </w:tc>
        <w:tc>
          <w:tcPr>
            <w:tcW w:type="dxa" w:w="4816"/>
          </w:tcPr>
          <w:p>
            <w:r>
              <w:t>Preenchimento</w:t>
            </w:r>
          </w:p>
        </w:tc>
      </w:tr>
      <w:tr>
        <w:tc>
          <w:tcPr>
            <w:tcW w:type="dxa" w:w="4816"/>
          </w:tcPr>
          <w:p>
            <w:r>
              <w:t>Fornecedor</w:t>
            </w:r>
          </w:p>
        </w:tc>
        <w:tc>
          <w:tcPr>
            <w:tcW w:type="dxa" w:w="4816"/>
          </w:tcPr>
          <w:p>
            <w:r>
              <w:t>________________________</w:t>
            </w:r>
          </w:p>
        </w:tc>
      </w:tr>
      <w:tr>
        <w:tc>
          <w:tcPr>
            <w:tcW w:type="dxa" w:w="4816"/>
          </w:tcPr>
          <w:p>
            <w:r>
              <w:t>CNPJ</w:t>
            </w:r>
          </w:p>
        </w:tc>
        <w:tc>
          <w:tcPr>
            <w:tcW w:type="dxa" w:w="4816"/>
          </w:tcPr>
          <w:p>
            <w:r>
              <w:t>________________________</w:t>
            </w:r>
          </w:p>
        </w:tc>
      </w:tr>
      <w:tr>
        <w:tc>
          <w:tcPr>
            <w:tcW w:type="dxa" w:w="4816"/>
          </w:tcPr>
          <w:p>
            <w:r>
              <w:t>Classe</w:t>
            </w:r>
          </w:p>
        </w:tc>
        <w:tc>
          <w:tcPr>
            <w:tcW w:type="dxa" w:w="4816"/>
          </w:tcPr>
          <w:p>
            <w:r>
              <w:t>A / B / C</w:t>
            </w:r>
          </w:p>
        </w:tc>
      </w:tr>
      <w:tr>
        <w:tc>
          <w:tcPr>
            <w:tcW w:type="dxa" w:w="4816"/>
          </w:tcPr>
          <w:p>
            <w:r>
              <w:t>Período</w:t>
            </w:r>
          </w:p>
        </w:tc>
        <w:tc>
          <w:tcPr>
            <w:tcW w:type="dxa" w:w="4816"/>
          </w:tcPr>
          <w:p>
            <w:r>
              <w:t>________________________</w:t>
            </w:r>
          </w:p>
        </w:tc>
      </w:tr>
      <w:tr>
        <w:tc>
          <w:tcPr>
            <w:tcW w:type="dxa" w:w="4816"/>
          </w:tcPr>
          <w:p>
            <w:r>
              <w:t>Comprador</w:t>
            </w:r>
          </w:p>
        </w:tc>
        <w:tc>
          <w:tcPr>
            <w:tcW w:type="dxa" w:w="4816"/>
          </w:tcPr>
          <w:p>
            <w:r>
              <w:t>________________________</w:t>
            </w:r>
          </w:p>
        </w:tc>
      </w:tr>
      <w:tr>
        <w:tc>
          <w:tcPr>
            <w:tcW w:type="dxa" w:w="4816"/>
          </w:tcPr>
          <w:p>
            <w:r>
              <w:t>Nota de qualidade</w:t>
            </w:r>
          </w:p>
        </w:tc>
        <w:tc>
          <w:tcPr>
            <w:tcW w:type="dxa" w:w="4816"/>
          </w:tcPr>
          <w:p>
            <w:r>
              <w:t>____ / 10</w:t>
            </w:r>
          </w:p>
        </w:tc>
      </w:tr>
      <w:tr>
        <w:tc>
          <w:tcPr>
            <w:tcW w:type="dxa" w:w="4816"/>
          </w:tcPr>
          <w:p>
            <w:r>
              <w:t>Nota de preço</w:t>
            </w:r>
          </w:p>
        </w:tc>
        <w:tc>
          <w:tcPr>
            <w:tcW w:type="dxa" w:w="4816"/>
          </w:tcPr>
          <w:p>
            <w:r>
              <w:t>____ / 10</w:t>
            </w:r>
          </w:p>
        </w:tc>
      </w:tr>
      <w:tr>
        <w:tc>
          <w:tcPr>
            <w:tcW w:type="dxa" w:w="4816"/>
          </w:tcPr>
          <w:p>
            <w:r>
              <w:t>Nota OTIF</w:t>
            </w:r>
          </w:p>
        </w:tc>
        <w:tc>
          <w:tcPr>
            <w:tcW w:type="dxa" w:w="4816"/>
          </w:tcPr>
          <w:p>
            <w:r>
              <w:t>____ / 10</w:t>
            </w:r>
          </w:p>
        </w:tc>
      </w:tr>
      <w:tr>
        <w:tc>
          <w:tcPr>
            <w:tcW w:type="dxa" w:w="4816"/>
          </w:tcPr>
          <w:p>
            <w:r>
              <w:t>Nota capacidade</w:t>
            </w:r>
          </w:p>
        </w:tc>
        <w:tc>
          <w:tcPr>
            <w:tcW w:type="dxa" w:w="4816"/>
          </w:tcPr>
          <w:p>
            <w:r>
              <w:t>____ / 10</w:t>
            </w:r>
          </w:p>
        </w:tc>
      </w:tr>
      <w:tr>
        <w:tc>
          <w:tcPr>
            <w:tcW w:type="dxa" w:w="4816"/>
          </w:tcPr>
          <w:p>
            <w:r>
              <w:t>Plano de ação</w:t>
            </w:r>
          </w:p>
        </w:tc>
        <w:tc>
          <w:tcPr>
            <w:tcW w:type="dxa" w:w="4816"/>
          </w:tcPr>
          <w:p>
            <w:r>
              <w:t>________________________</w:t>
            </w:r>
          </w:p>
        </w:tc>
      </w:tr>
    </w:tbl>
    <w:p>
      <w:pPr>
        <w:pStyle w:val="Heading1"/>
      </w:pPr>
      <w:r>
        <w:t>16. Fluxograma textual</w:t>
      </w:r>
    </w:p>
    <w:p>
      <w:r>
        <w:t>INÍCIO → Chegada → Ordem de compra → Documento fiscal → Temperatura (se aplicável) → Quantidade/EAN → Divergência? → Sim: ocorrência/devolução | Não: entrada no sistema → Financeiro → FIM.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Mercado NovaEra 24h S.A. | Documento fictício para projeto de referência | Versão 1.0 —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