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70196B4D" w:rsidR="001E096A" w:rsidRPr="00207BC8" w:rsidRDefault="001E096A" w:rsidP="001E096A">
      <w:pPr>
        <w:jc w:val="center"/>
        <w:rPr>
          <w:b/>
        </w:rPr>
      </w:pPr>
      <w:r w:rsidRPr="00207BC8">
        <w:rPr>
          <w:b/>
        </w:rPr>
        <w:t>Phylogenomic analysis of an unusual biogeographic disjunction</w:t>
      </w:r>
      <w:r w:rsidR="00C37DF5">
        <w:rPr>
          <w:b/>
        </w:rPr>
        <w:t xml:space="preserve"> in the cotton tribe (Gossypieae)</w:t>
      </w:r>
    </w:p>
    <w:p w14:paraId="60CE6A03" w14:textId="55C96511" w:rsidR="001E096A" w:rsidRDefault="001E096A" w:rsidP="001E096A">
      <w:r>
        <w:t xml:space="preserve">Corrinne E Grover, Mark A </w:t>
      </w:r>
      <w:proofErr w:type="spellStart"/>
      <w:r>
        <w:t>Arick</w:t>
      </w:r>
      <w:proofErr w:type="spellEnd"/>
      <w:r>
        <w:t xml:space="preserve"> II, Justin Conover, Adam Thrasher, </w:t>
      </w:r>
      <w:proofErr w:type="spellStart"/>
      <w:r w:rsidR="002613A6">
        <w:t>Guanjing</w:t>
      </w:r>
      <w:proofErr w:type="spellEnd"/>
      <w:r w:rsidR="002613A6">
        <w:t xml:space="preserve"> Hu, </w:t>
      </w:r>
      <w:r>
        <w:t xml:space="preserve">William S Sanders, Rubab Naqvi, Muhammad Farooq, Joann </w:t>
      </w:r>
      <w:proofErr w:type="spellStart"/>
      <w:r>
        <w:t>Mudge</w:t>
      </w:r>
      <w:proofErr w:type="spellEnd"/>
      <w:r>
        <w:t xml:space="preserve">, </w:t>
      </w:r>
      <w:proofErr w:type="spellStart"/>
      <w:r>
        <w:t>Thiru</w:t>
      </w:r>
      <w:proofErr w:type="spellEnd"/>
      <w:r>
        <w:t xml:space="preserve"> </w:t>
      </w:r>
      <w:proofErr w:type="spellStart"/>
      <w:r>
        <w:t>Ramaraj</w:t>
      </w:r>
      <w:proofErr w:type="spellEnd"/>
      <w:r>
        <w:t xml:space="preserve">, Joshua A Udall, Daniel G Peterson, Jodi </w:t>
      </w:r>
      <w:proofErr w:type="spellStart"/>
      <w:proofErr w:type="gramStart"/>
      <w:r>
        <w:t>Scheffler</w:t>
      </w:r>
      <w:proofErr w:type="spellEnd"/>
      <w:r>
        <w:t xml:space="preserve">,  </w:t>
      </w:r>
      <w:r w:rsidR="00E83116">
        <w:t>Brian</w:t>
      </w:r>
      <w:proofErr w:type="gramEnd"/>
      <w:r w:rsidR="00E83116">
        <w:t xml:space="preserve"> </w:t>
      </w:r>
      <w:proofErr w:type="spellStart"/>
      <w:r w:rsidR="00E83116">
        <w:t>Scheffler</w:t>
      </w:r>
      <w:proofErr w:type="spellEnd"/>
      <w:r w:rsidR="00E83116">
        <w:t xml:space="preserve">, </w:t>
      </w:r>
      <w:r>
        <w:t xml:space="preserve">and </w:t>
      </w:r>
      <w:r w:rsidR="00E83116">
        <w:t>Jonathan F Wendel</w:t>
      </w:r>
    </w:p>
    <w:p w14:paraId="69C5F0DF"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7CE82219" w14:textId="77777777" w:rsidR="00485F39" w:rsidRPr="00C13819" w:rsidRDefault="00485F39" w:rsidP="001E096A">
      <w:pPr>
        <w:rPr>
          <w:b/>
        </w:rPr>
      </w:pPr>
      <w:r w:rsidRPr="00C13819">
        <w:rPr>
          <w:b/>
        </w:rPr>
        <w:t>Introduction</w:t>
      </w:r>
    </w:p>
    <w:p w14:paraId="70711B28" w14:textId="3ED8066A" w:rsidR="00FB78D6" w:rsidRDefault="00FB78D6" w:rsidP="001E096A">
      <w:r>
        <w:t xml:space="preserve">One of the intriguing phenomena that characterizes </w:t>
      </w:r>
      <w:r w:rsidR="003E25AC">
        <w:t>the cotton tribe</w:t>
      </w:r>
      <w:r>
        <w:t xml:space="preserve">, </w:t>
      </w:r>
      <w:r>
        <w:rPr>
          <w:i/>
        </w:rPr>
        <w:t>Gossypieae</w:t>
      </w:r>
      <w:r>
        <w:t xml:space="preserve">, </w:t>
      </w:r>
      <w:r w:rsidR="003E25AC">
        <w:t>is the prevalence of long-distance, trans-oceanic dispersal</w:t>
      </w:r>
      <w:r w:rsidR="006259A8">
        <w:t>s</w:t>
      </w:r>
      <w:r>
        <w:rPr>
          <w:i/>
        </w:rPr>
        <w:t>.</w:t>
      </w:r>
      <w:r w:rsidR="0084460B">
        <w:t xml:space="preserve"> </w:t>
      </w:r>
      <w:r w:rsidR="00BC520F">
        <w:t>The most famous of these occur within the cotton genus itself (</w:t>
      </w:r>
      <w:r w:rsidR="00BC520F">
        <w:rPr>
          <w:i/>
        </w:rPr>
        <w:t>Gossypium</w:t>
      </w:r>
      <w:r w:rsidR="00BC520F">
        <w:t>)</w:t>
      </w:r>
      <w:r w:rsidR="00580E02">
        <w:t>; however, multiple events are found throughout the tribe</w:t>
      </w:r>
      <w:r w:rsidR="006E0CE9">
        <w:t xml:space="preserve"> {</w:t>
      </w:r>
      <w:proofErr w:type="spellStart"/>
      <w:r w:rsidR="006E0CE9">
        <w:t>Dejoode</w:t>
      </w:r>
      <w:proofErr w:type="spellEnd"/>
      <w:r w:rsidR="006E0CE9">
        <w:t>, 1992 #</w:t>
      </w:r>
      <w:proofErr w:type="gramStart"/>
      <w:r w:rsidR="006E0CE9">
        <w:t>1}{</w:t>
      </w:r>
      <w:proofErr w:type="gramEnd"/>
      <w:r w:rsidR="006E0CE9">
        <w:t>Fryxell, 1979 #11}{Stephens, 1958 #12}{Stephens, 1966 #13}{Wendel, 1989 #14}{Wendel, 1992 #15}</w:t>
      </w:r>
      <w:r w:rsidR="00EE5495">
        <w:t>{Wendel, 1990 #16}{Wendel, 1990 #17}{Wendel, 2003 #18}{Seelanan, 1997 #19}</w:t>
      </w:r>
      <w:r w:rsidR="00580E02">
        <w:t>.</w:t>
      </w:r>
      <w:r w:rsidR="006259A8">
        <w:t xml:space="preserve"> The </w:t>
      </w:r>
      <w:r w:rsidR="00757F56">
        <w:t>sister genera</w:t>
      </w:r>
      <w:r w:rsidR="006259A8">
        <w:t xml:space="preserve"> </w:t>
      </w:r>
      <w:r w:rsidR="006259A8">
        <w:rPr>
          <w:i/>
        </w:rPr>
        <w:t xml:space="preserve">Kokia </w:t>
      </w:r>
      <w:r w:rsidR="00757F56">
        <w:t xml:space="preserve">and </w:t>
      </w:r>
      <w:r w:rsidR="00757F56">
        <w:rPr>
          <w:i/>
        </w:rPr>
        <w:t>Gossypioides</w:t>
      </w:r>
      <w:r w:rsidR="00757F56">
        <w:t xml:space="preserve"> </w:t>
      </w:r>
      <w:r w:rsidR="006004F3">
        <w:t>both</w:t>
      </w:r>
      <w:r w:rsidR="00757F56">
        <w:t xml:space="preserve"> represent </w:t>
      </w:r>
      <w:r w:rsidR="006004F3">
        <w:t xml:space="preserve">a </w:t>
      </w:r>
      <w:r w:rsidR="00757F56">
        <w:t>minim</w:t>
      </w:r>
      <w:r w:rsidR="006004F3">
        <w:t>um of</w:t>
      </w:r>
      <w:r w:rsidR="00757F56">
        <w:t xml:space="preserve"> </w:t>
      </w:r>
      <w:r w:rsidR="006259A8">
        <w:t xml:space="preserve">one such oceanic dispersal followed by </w:t>
      </w:r>
      <w:r w:rsidR="006004F3">
        <w:t xml:space="preserve">individual </w:t>
      </w:r>
      <w:r w:rsidR="006259A8">
        <w:t>regional speciation.</w:t>
      </w:r>
      <w:r w:rsidR="006004F3">
        <w:t xml:space="preserve"> </w:t>
      </w:r>
      <w:r w:rsidR="00C37DF5">
        <w:t xml:space="preserve">Based on molecular divergence estimates derived from </w:t>
      </w:r>
      <w:r w:rsidR="00426D24">
        <w:t>both chloroplast and nuclear genes, t</w:t>
      </w:r>
      <w:r w:rsidR="006004F3">
        <w:t>hese genera</w:t>
      </w:r>
      <w:r w:rsidR="00C13819">
        <w:t xml:space="preserve"> collectively</w:t>
      </w:r>
      <w:r w:rsidR="006004F3">
        <w:t xml:space="preserve"> diverged from the cotton genus</w:t>
      </w:r>
      <w:r w:rsidR="009B49B6">
        <w:t xml:space="preserve"> during the Miocene</w:t>
      </w:r>
      <w:r w:rsidR="006004F3">
        <w:t xml:space="preserve"> approximately 10-15 million years ago (</w:t>
      </w:r>
      <w:proofErr w:type="spellStart"/>
      <w:r w:rsidR="006004F3">
        <w:t>mya</w:t>
      </w:r>
      <w:proofErr w:type="spellEnd"/>
      <w:r w:rsidR="006004F3">
        <w:t>;</w:t>
      </w:r>
      <w:r w:rsidR="00EE5495">
        <w:t xml:space="preserve"> {Seelanan, 1997 #</w:t>
      </w:r>
      <w:proofErr w:type="gramStart"/>
      <w:r w:rsidR="00EE5495">
        <w:t>19}</w:t>
      </w:r>
      <w:r w:rsidR="00426D24">
        <w:t>{</w:t>
      </w:r>
      <w:proofErr w:type="gramEnd"/>
      <w:r w:rsidR="00426D24">
        <w:t>Cronn, 2002 #26}</w:t>
      </w:r>
      <w:r w:rsidR="006004F3">
        <w:t xml:space="preserve">), subsequently splitting into individual genera and achieving widely </w:t>
      </w:r>
      <w:r w:rsidR="00D21F20">
        <w:t>dispersed</w:t>
      </w:r>
      <w:r w:rsidR="006004F3">
        <w:t>, yet very localized ranges.</w:t>
      </w:r>
    </w:p>
    <w:p w14:paraId="3E2BB3F5" w14:textId="343B8E53" w:rsidR="00780297" w:rsidRPr="00124CF5" w:rsidRDefault="006259A8" w:rsidP="00195CBD">
      <w:r w:rsidRPr="006004F3">
        <w:rPr>
          <w:i/>
        </w:rPr>
        <w:t>Kokia</w:t>
      </w:r>
      <w:r>
        <w:t xml:space="preserve"> (</w:t>
      </w:r>
      <w:r w:rsidR="00757F56">
        <w:t>Malvaceae</w:t>
      </w:r>
      <w:r>
        <w:t>) is a small Hawaiian endemic genus composed of four species</w:t>
      </w:r>
      <w:r w:rsidR="00757F56">
        <w:t xml:space="preserve"> that </w:t>
      </w:r>
      <w:r w:rsidR="006004F3">
        <w:t>were</w:t>
      </w:r>
      <w:r w:rsidR="00757F56">
        <w:t xml:space="preserve"> once widespread</w:t>
      </w:r>
      <w:r w:rsidR="006004F3">
        <w:t>,</w:t>
      </w:r>
      <w:r w:rsidR="00757F56">
        <w:t xml:space="preserve"> major component</w:t>
      </w:r>
      <w:r w:rsidR="006004F3">
        <w:t>s</w:t>
      </w:r>
      <w:r w:rsidR="00757F56">
        <w:t xml:space="preserve"> of Hawaiian forests, yet are </w:t>
      </w:r>
      <w:r w:rsidR="006004F3">
        <w:t xml:space="preserve">now </w:t>
      </w:r>
      <w:r w:rsidR="00757F56">
        <w:t>all either endangered</w:t>
      </w:r>
      <w:r w:rsidR="006004F3">
        <w:t>,</w:t>
      </w:r>
      <w:r w:rsidR="00757F56">
        <w:t xml:space="preserve"> or </w:t>
      </w:r>
      <w:r>
        <w:t>recently extinct (</w:t>
      </w:r>
      <w:r w:rsidRPr="00757F56">
        <w:rPr>
          <w:i/>
        </w:rPr>
        <w:t>K. lanceolata</w:t>
      </w:r>
      <w:r w:rsidR="00757F56">
        <w:t xml:space="preserve"> </w:t>
      </w:r>
      <w:proofErr w:type="spellStart"/>
      <w:r w:rsidR="00757F56">
        <w:t>Lewton</w:t>
      </w:r>
      <w:proofErr w:type="spellEnd"/>
      <w:r>
        <w:t>;</w:t>
      </w:r>
      <w:r w:rsidR="001C0C32">
        <w:t xml:space="preserve"> {Bates, 1990 #</w:t>
      </w:r>
      <w:proofErr w:type="gramStart"/>
      <w:r w:rsidR="001C0C32">
        <w:t>20}{</w:t>
      </w:r>
      <w:proofErr w:type="gramEnd"/>
      <w:r w:rsidR="001C0C32">
        <w:t>Sherwood, 2014 #21}</w:t>
      </w:r>
      <w:r>
        <w:t>)</w:t>
      </w:r>
      <w:r w:rsidR="00757F56">
        <w:t>.</w:t>
      </w:r>
      <w:r>
        <w:t xml:space="preserve"> </w:t>
      </w:r>
      <w:r w:rsidR="006004F3">
        <w:t xml:space="preserve">Few individuals remain of the two free-living extant species, </w:t>
      </w:r>
      <w:r w:rsidR="006004F3" w:rsidRPr="00757F56">
        <w:rPr>
          <w:i/>
        </w:rPr>
        <w:t>K. kauaiensis</w:t>
      </w:r>
      <w:r w:rsidR="006004F3">
        <w:t xml:space="preserve"> </w:t>
      </w:r>
      <w:r w:rsidR="00780297" w:rsidRPr="00780297">
        <w:t xml:space="preserve">(Rock) </w:t>
      </w:r>
      <w:proofErr w:type="spellStart"/>
      <w:r w:rsidR="00780297" w:rsidRPr="00780297">
        <w:t>Degener</w:t>
      </w:r>
      <w:proofErr w:type="spellEnd"/>
      <w:r w:rsidR="00780297" w:rsidRPr="00780297">
        <w:t xml:space="preserve"> &amp; </w:t>
      </w:r>
      <w:proofErr w:type="spellStart"/>
      <w:r w:rsidR="00780297" w:rsidRPr="00780297">
        <w:t>Duvel</w:t>
      </w:r>
      <w:proofErr w:type="spellEnd"/>
      <w:r w:rsidR="00780297" w:rsidRPr="00780297">
        <w:t xml:space="preserve"> </w:t>
      </w:r>
      <w:r w:rsidR="006004F3" w:rsidRPr="00930C4E">
        <w:t>and</w:t>
      </w:r>
      <w:r w:rsidR="006004F3" w:rsidRPr="00757F56">
        <w:rPr>
          <w:i/>
        </w:rPr>
        <w:t xml:space="preserve"> K. drynarioides</w:t>
      </w:r>
      <w:r w:rsidR="00780297" w:rsidRPr="00780297">
        <w:t xml:space="preserve"> (Seem.) </w:t>
      </w:r>
      <w:proofErr w:type="spellStart"/>
      <w:r w:rsidR="00780297" w:rsidRPr="00780297">
        <w:t>Lewton</w:t>
      </w:r>
      <w:proofErr w:type="spellEnd"/>
      <w:r w:rsidR="006004F3">
        <w:t xml:space="preserve">, </w:t>
      </w:r>
      <w:r w:rsidR="005572AC">
        <w:t xml:space="preserve">the latter of which is critically endangered and nearly extinct in the wild, </w:t>
      </w:r>
      <w:r w:rsidR="006004F3">
        <w:t xml:space="preserve">while the third endangered species, </w:t>
      </w:r>
      <w:r w:rsidRPr="006259A8">
        <w:rPr>
          <w:i/>
        </w:rPr>
        <w:t>K. cookei</w:t>
      </w:r>
      <w:r w:rsidR="006004F3">
        <w:t xml:space="preserve"> </w:t>
      </w:r>
      <w:proofErr w:type="spellStart"/>
      <w:r w:rsidR="006004F3">
        <w:t>Degener</w:t>
      </w:r>
      <w:proofErr w:type="spellEnd"/>
      <w:r>
        <w:t>, exists only as a maintained graft</w:t>
      </w:r>
      <w:r w:rsidR="001A3EAE">
        <w:t xml:space="preserve"> derived from a single individual</w:t>
      </w:r>
      <w:r>
        <w:t xml:space="preserve"> (</w:t>
      </w:r>
      <w:r w:rsidR="001C0C32">
        <w:t>{Service, 2012 #</w:t>
      </w:r>
      <w:proofErr w:type="gramStart"/>
      <w:r w:rsidR="001C0C32">
        <w:t>22}</w:t>
      </w:r>
      <w:r w:rsidR="001C0C32">
        <w:rPr>
          <w:color w:val="000000"/>
          <w:shd w:val="clear" w:color="auto" w:fill="FFFFFF"/>
        </w:rPr>
        <w:t>{</w:t>
      </w:r>
      <w:proofErr w:type="gramEnd"/>
      <w:r w:rsidR="001C0C32">
        <w:rPr>
          <w:color w:val="000000"/>
          <w:shd w:val="clear" w:color="auto" w:fill="FFFFFF"/>
        </w:rPr>
        <w:t>Sherwood, 2014 #21}</w:t>
      </w:r>
      <w:r>
        <w:t xml:space="preserve">). </w:t>
      </w:r>
      <w:r w:rsidR="00D21F20">
        <w:t>The native region of its</w:t>
      </w:r>
      <w:r w:rsidR="00780297">
        <w:t xml:space="preserve"> sister genus, </w:t>
      </w:r>
      <w:r w:rsidR="00195CBD" w:rsidRPr="00780297">
        <w:rPr>
          <w:i/>
        </w:rPr>
        <w:t>Gossypioides</w:t>
      </w:r>
      <w:r w:rsidR="00780297">
        <w:t>,</w:t>
      </w:r>
      <w:r w:rsidR="00195CBD">
        <w:t xml:space="preserve"> </w:t>
      </w:r>
      <w:r w:rsidR="00D21F20">
        <w:t xml:space="preserve">is </w:t>
      </w:r>
      <w:r w:rsidR="00780297">
        <w:t xml:space="preserve">located </w:t>
      </w:r>
      <w:r w:rsidR="00D21F20">
        <w:t xml:space="preserve">over 15,000 kilometers away in </w:t>
      </w:r>
      <w:r w:rsidR="00195CBD">
        <w:t>East Africa and Madagascar</w:t>
      </w:r>
      <w:r w:rsidR="00D21F20">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rsidR="00D21F20">
        <w:t xml:space="preserve"> Hoch. (East Africa and Madagascar, </w:t>
      </w:r>
      <w:r w:rsidR="00780297">
        <w:t>respectively</w:t>
      </w:r>
      <w:r w:rsidR="00D21F20">
        <w:t>)</w:t>
      </w:r>
      <w:r w:rsidR="0005507F">
        <w:t>,</w:t>
      </w:r>
      <w:r w:rsidR="00D21F20">
        <w:t xml:space="preserve"> are </w:t>
      </w:r>
      <w:r w:rsidR="00C13819">
        <w:t xml:space="preserve">themselves </w:t>
      </w:r>
      <w:r w:rsidR="00D21F20">
        <w:t>reproductively isolated and</w:t>
      </w:r>
      <w:r w:rsidR="00124CF5">
        <w:t xml:space="preserve">, with </w:t>
      </w:r>
      <w:r w:rsidR="00124CF5">
        <w:rPr>
          <w:i/>
        </w:rPr>
        <w:t>Kokia</w:t>
      </w:r>
      <w:r w:rsidR="00E509F3">
        <w:t>, are</w:t>
      </w:r>
      <w:r w:rsidR="00124CF5">
        <w:t xml:space="preserve"> </w:t>
      </w:r>
      <w:r w:rsidR="00D21F20">
        <w:t xml:space="preserve">cytologically distinct </w:t>
      </w:r>
      <w:r w:rsidR="00124CF5">
        <w:t xml:space="preserve">from the remainder of the cotton tribe in that they appear to have experienced an </w:t>
      </w:r>
      <w:r w:rsidR="00E509F3">
        <w:t>aneuploid</w:t>
      </w:r>
      <w:r w:rsidR="00124CF5">
        <w:t xml:space="preserve"> reduction in chromosome number. </w:t>
      </w:r>
      <w:proofErr w:type="gramStart"/>
      <w:r w:rsidR="00124CF5">
        <w:t xml:space="preserve">Specifically, </w:t>
      </w:r>
      <w:r w:rsidR="00D21F20">
        <w:t xml:space="preserve"> </w:t>
      </w:r>
      <w:r w:rsidR="00C13819">
        <w:t>while</w:t>
      </w:r>
      <w:proofErr w:type="gramEnd"/>
      <w:r w:rsidR="00C13819">
        <w:t xml:space="preserv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t>
      </w:r>
      <w:r w:rsidR="00124CF5">
        <w:t xml:space="preserve">with an unusually long chromosome pair in </w:t>
      </w:r>
      <w:r w:rsidR="00124CF5" w:rsidRPr="00D21F20">
        <w:rPr>
          <w:i/>
        </w:rPr>
        <w:t>G. brevilanatum</w:t>
      </w:r>
      <w:r w:rsidR="001C0C32">
        <w:t xml:space="preserve"> {Hutchinson, 1937 #</w:t>
      </w:r>
      <w:proofErr w:type="gramStart"/>
      <w:r w:rsidR="001C0C32">
        <w:t>25}</w:t>
      </w:r>
      <w:r w:rsidR="00A245C9">
        <w:t>{</w:t>
      </w:r>
      <w:proofErr w:type="gramEnd"/>
      <w:r w:rsidR="00A245C9">
        <w:t>Hutchinson, 1943 #29}</w:t>
      </w:r>
      <w:r w:rsidR="00124CF5">
        <w:t>.</w:t>
      </w:r>
    </w:p>
    <w:p w14:paraId="2DA3A388" w14:textId="75CC2B66" w:rsidR="008772EF" w:rsidRDefault="00C13819" w:rsidP="003D3D4C">
      <w:r>
        <w:t xml:space="preserve">Despite the extensive research on the evolution of </w:t>
      </w:r>
      <w:r>
        <w:rPr>
          <w:i/>
        </w:rPr>
        <w:t>Gossypium</w:t>
      </w:r>
      <w:r>
        <w:t xml:space="preserve">, </w:t>
      </w:r>
      <w:r w:rsidR="009B49B6">
        <w:t xml:space="preserve">these sister genera have been grossly understudied, except in serving as phylogenetic outgroups for cotton phylogenetic </w:t>
      </w:r>
      <w:r w:rsidR="00F510C0">
        <w:t xml:space="preserve">and genomic </w:t>
      </w:r>
      <w:r w:rsidR="009B49B6">
        <w:t>research</w:t>
      </w:r>
      <w:r w:rsidR="009B49B6" w:rsidRPr="009B49B6">
        <w:t xml:space="preserve"> </w:t>
      </w:r>
      <w:r w:rsidR="001C0C32">
        <w:t>{Seelanan, 1997 #</w:t>
      </w:r>
      <w:proofErr w:type="gramStart"/>
      <w:r w:rsidR="001C0C32">
        <w:t>19}</w:t>
      </w:r>
      <w:r w:rsidR="00A245C9">
        <w:t>{</w:t>
      </w:r>
      <w:proofErr w:type="gramEnd"/>
      <w:r w:rsidR="00A245C9">
        <w:t>Cronn, 2002 #26}</w:t>
      </w:r>
      <w:r w:rsidR="009B49B6">
        <w:t xml:space="preserve">. </w:t>
      </w:r>
      <w:r w:rsidR="003D3D4C">
        <w:t>Genomic r</w:t>
      </w:r>
      <w:r w:rsidR="009B49B6">
        <w:t xml:space="preserve">esources in </w:t>
      </w:r>
      <w:r w:rsidR="00F510C0">
        <w:t>both</w:t>
      </w:r>
      <w:r w:rsidR="009B49B6">
        <w:t xml:space="preserve"> gen</w:t>
      </w:r>
      <w:r w:rsidR="00F510C0">
        <w:t>era</w:t>
      </w:r>
      <w:r w:rsidR="009B49B6">
        <w:t xml:space="preserve"> are minimal</w:t>
      </w:r>
      <w:r w:rsidR="003D3D4C">
        <w:t>,</w:t>
      </w:r>
      <w:r w:rsidR="00F510C0">
        <w:t xml:space="preserve"> access to plant material is limited</w:t>
      </w:r>
      <w:r w:rsidR="003D3D4C">
        <w:t xml:space="preserve">, and with the recent exception of a study by </w:t>
      </w:r>
      <w:r w:rsidR="00F510C0">
        <w:t xml:space="preserve">Sherwood and </w:t>
      </w:r>
      <w:proofErr w:type="spellStart"/>
      <w:r w:rsidR="00F510C0">
        <w:t>Morden</w:t>
      </w:r>
      <w:proofErr w:type="spellEnd"/>
      <w:r w:rsidR="00F510C0">
        <w:t xml:space="preserve"> (2014) on diversity among </w:t>
      </w:r>
      <w:r w:rsidR="00F510C0">
        <w:rPr>
          <w:i/>
        </w:rPr>
        <w:t xml:space="preserve">Kokia </w:t>
      </w:r>
      <w:r w:rsidR="00F510C0">
        <w:t>species,</w:t>
      </w:r>
      <w:r w:rsidR="003D3D4C">
        <w:t xml:space="preserve"> much of our knowledge regarding these genera is decades old</w:t>
      </w:r>
      <w:r w:rsidR="001C0C32">
        <w:t xml:space="preserve"> {Hutchinson, 1947 #</w:t>
      </w:r>
      <w:proofErr w:type="gramStart"/>
      <w:r w:rsidR="001C0C32">
        <w:t>23;Seelanan</w:t>
      </w:r>
      <w:proofErr w:type="gramEnd"/>
      <w:r w:rsidR="001C0C32">
        <w:t>, 1997 #19}</w:t>
      </w:r>
      <w:r w:rsidR="00A245C9">
        <w:t>{Fryxell, 1968 #28}</w:t>
      </w:r>
      <w:r w:rsidR="003D3D4C">
        <w:t xml:space="preserve">. </w:t>
      </w:r>
    </w:p>
    <w:p w14:paraId="173DCC78" w14:textId="78A9853F" w:rsidR="001A3EAE" w:rsidRPr="00457C7C" w:rsidRDefault="00CB7E0D" w:rsidP="003D3D4C">
      <w:r>
        <w:lastRenderedPageBreak/>
        <w:t xml:space="preserve">The history of these genera, however, is intriguing. </w:t>
      </w:r>
      <w:r w:rsidR="008772EF">
        <w:t xml:space="preserve">The current distribution of </w:t>
      </w:r>
      <w:r w:rsidR="008772EF" w:rsidRPr="008772EF">
        <w:rPr>
          <w:i/>
        </w:rPr>
        <w:t>Kokia</w:t>
      </w:r>
      <w:r w:rsidR="008772EF">
        <w:t xml:space="preserve"> in the Hawaiian Islands and </w:t>
      </w:r>
      <w:r w:rsidR="008772EF" w:rsidRPr="008772EF">
        <w:rPr>
          <w:i/>
        </w:rPr>
        <w:t>Gossypioides</w:t>
      </w:r>
      <w:r w:rsidR="008772EF">
        <w:t xml:space="preserve"> in East Africa-Madagascar necessitates at least one significant trans-oceanic traversal to a relatively young island chain that began to emerge only about 3.4 </w:t>
      </w:r>
      <w:proofErr w:type="spellStart"/>
      <w:r w:rsidR="008772EF">
        <w:t>mya</w:t>
      </w:r>
      <w:proofErr w:type="spellEnd"/>
      <w:r w:rsidR="008772EF">
        <w:t xml:space="preserve">, </w:t>
      </w:r>
      <w:r w:rsidR="00983911">
        <w:t xml:space="preserve">an age approximately equivalent to the estimated divergence between </w:t>
      </w:r>
      <w:r w:rsidR="00983911">
        <w:rPr>
          <w:i/>
        </w:rPr>
        <w:t xml:space="preserve">Kokia drynarioides </w:t>
      </w:r>
      <w:r w:rsidR="00983911">
        <w:t xml:space="preserve">and </w:t>
      </w:r>
      <w:r w:rsidR="00983911">
        <w:rPr>
          <w:i/>
        </w:rPr>
        <w:t xml:space="preserve">Gossypioides </w:t>
      </w:r>
      <w:r w:rsidR="00983911" w:rsidRPr="00983911">
        <w:rPr>
          <w:i/>
        </w:rPr>
        <w:t>kirkii</w:t>
      </w:r>
      <w:r w:rsidR="00983911">
        <w:t xml:space="preserve"> </w:t>
      </w:r>
      <w:r w:rsidR="00A245C9">
        <w:t>{Seelanan, 1997 #19}</w:t>
      </w:r>
      <w:r w:rsidR="00552CCE">
        <w:t xml:space="preserve"> and slightly more recent than the basal most divergence in </w:t>
      </w:r>
      <w:r w:rsidR="00552CCE">
        <w:rPr>
          <w:i/>
        </w:rPr>
        <w:t>Gossypium</w:t>
      </w:r>
      <w:r w:rsidR="00552CCE">
        <w:t>.</w:t>
      </w:r>
      <w:r w:rsidR="00983911">
        <w:t xml:space="preserve"> </w:t>
      </w:r>
      <w:r w:rsidR="005572AC">
        <w:t xml:space="preserve">Diversity within </w:t>
      </w:r>
      <w:r w:rsidR="005572AC">
        <w:rPr>
          <w:i/>
        </w:rPr>
        <w:t xml:space="preserve">Gossypioides </w:t>
      </w:r>
      <w:r w:rsidR="005572AC">
        <w:t>is unknown, aside from acquisition of reproductive isolation between its sole two species</w:t>
      </w:r>
      <w:r w:rsidR="00273CB1">
        <w:t>; however, d</w:t>
      </w:r>
      <w:r w:rsidR="005572AC">
        <w:t xml:space="preserve">iversity in </w:t>
      </w:r>
      <w:r w:rsidR="005572AC">
        <w:rPr>
          <w:i/>
        </w:rPr>
        <w:t xml:space="preserve">Kokia </w:t>
      </w:r>
      <w:r w:rsidR="005572AC">
        <w:t>has been evaluated for the purposes of conservation</w:t>
      </w:r>
      <w:r w:rsidR="00A245C9">
        <w:t xml:space="preserve"> {Sherwood, 2014 #21}</w:t>
      </w:r>
      <w:r w:rsidR="00273CB1">
        <w:t>.</w:t>
      </w:r>
      <w:r w:rsidR="005572AC">
        <w:t xml:space="preserve"> </w:t>
      </w:r>
      <w:r w:rsidR="00273CB1">
        <w:t>A</w:t>
      </w:r>
      <w:r w:rsidR="005572AC">
        <w:t xml:space="preserve"> remarkable amount of diversity </w:t>
      </w:r>
      <w:r w:rsidR="00273CB1">
        <w:t xml:space="preserve">within and among species has been detected, particularly </w:t>
      </w:r>
      <w:r w:rsidR="005572AC">
        <w:t>given the demograph</w:t>
      </w:r>
      <w:r w:rsidR="00273CB1">
        <w:t>ic history</w:t>
      </w:r>
      <w:r w:rsidR="005572AC">
        <w:t xml:space="preserve"> of</w:t>
      </w:r>
      <w:r w:rsidR="00273CB1">
        <w:t xml:space="preserve"> </w:t>
      </w:r>
      <w:r w:rsidR="00273CB1">
        <w:rPr>
          <w:i/>
        </w:rPr>
        <w:t>Kokia</w:t>
      </w:r>
      <w:r w:rsidR="005572AC">
        <w:t>, which includes the original genetic bottleneck of the founder</w:t>
      </w:r>
      <w:r w:rsidR="00273CB1">
        <w:t>, range expansion,</w:t>
      </w:r>
      <w:r w:rsidR="005572AC">
        <w:t xml:space="preserve"> and the subsequent bottleneck of</w:t>
      </w:r>
      <w:r w:rsidR="00273CB1">
        <w:t xml:space="preserve"> habitat loss and the introduction of competitive and/or damaging alien species</w:t>
      </w:r>
      <w:r w:rsidR="00A245C9">
        <w:t xml:space="preserve"> {Sherwood, 2014 #21}</w:t>
      </w:r>
      <w:r w:rsidR="005572AC">
        <w:t>.</w:t>
      </w:r>
    </w:p>
    <w:p w14:paraId="79C576F6" w14:textId="5FD8605F" w:rsidR="003C1A86" w:rsidRDefault="00273CB1" w:rsidP="003D3D4C">
      <w:r>
        <w:t xml:space="preserve">Direct comparisons of these genera are limited. Hutchinson (1943) notes that successful grafts can be made between </w:t>
      </w:r>
      <w:r>
        <w:rPr>
          <w:i/>
        </w:rPr>
        <w:t xml:space="preserve">Kokia drynarioides </w:t>
      </w:r>
      <w:r>
        <w:t xml:space="preserve">and </w:t>
      </w:r>
      <w:r>
        <w:rPr>
          <w:i/>
        </w:rPr>
        <w:t xml:space="preserve">Gossypioides </w:t>
      </w:r>
      <w:r w:rsidRPr="00457C7C">
        <w:rPr>
          <w:i/>
        </w:rPr>
        <w:t>kirkii</w:t>
      </w:r>
      <w:r>
        <w:t>, and their shared chromosomal reduction (n=12)</w:t>
      </w:r>
      <w:r>
        <w:rPr>
          <w:i/>
        </w:rPr>
        <w:t xml:space="preserve"> </w:t>
      </w:r>
      <w:r>
        <w:t xml:space="preserve">is unique in the tribe. </w:t>
      </w:r>
      <w:r w:rsidRPr="00457C7C">
        <w:t>E</w:t>
      </w:r>
      <w:r w:rsidR="002C4137" w:rsidRPr="00931973">
        <w:t>stimates</w:t>
      </w:r>
      <w:r w:rsidR="002C4137">
        <w:t xml:space="preserve"> using a small number of nuclear genes suggest that genic distance </w:t>
      </w:r>
      <w:r w:rsidR="00F0733E">
        <w:t xml:space="preserve">between </w:t>
      </w:r>
      <w:r w:rsidR="00F0733E">
        <w:rPr>
          <w:i/>
        </w:rPr>
        <w:t xml:space="preserve">K. drynarioides </w:t>
      </w:r>
      <w:r w:rsidR="00F0733E">
        <w:t xml:space="preserve">and </w:t>
      </w:r>
      <w:r w:rsidR="00F0733E">
        <w:rPr>
          <w:i/>
        </w:rPr>
        <w:t xml:space="preserve">G. </w:t>
      </w:r>
      <w:r w:rsidR="00F0733E" w:rsidRPr="00F0733E">
        <w:rPr>
          <w:i/>
        </w:rPr>
        <w:t>kirkii</w:t>
      </w:r>
      <w:r w:rsidR="00F0733E">
        <w:t xml:space="preserve"> </w:t>
      </w:r>
      <w:r w:rsidR="002C4137">
        <w:t xml:space="preserve">are similar to estimates between basally diverged species in </w:t>
      </w:r>
      <w:r w:rsidR="002C4137">
        <w:rPr>
          <w:i/>
        </w:rPr>
        <w:t xml:space="preserve">Gossypium, </w:t>
      </w:r>
      <w:r w:rsidR="002C4137">
        <w:t>i.e., approximately 2% versus 3%, although a slight increase in replacement site substitutions is observed</w:t>
      </w:r>
      <w:r w:rsidR="0005507F">
        <w:t xml:space="preserve"> </w:t>
      </w:r>
      <w:r w:rsidR="00A245C9">
        <w:t>{Cronn, 2002 #26}</w:t>
      </w:r>
      <w:r w:rsidR="002C4137">
        <w:t xml:space="preserve">. </w:t>
      </w:r>
    </w:p>
    <w:p w14:paraId="2771C46A" w14:textId="7E60D18C" w:rsidR="003751D0" w:rsidRPr="00AC4F78" w:rsidRDefault="00207BC8" w:rsidP="003D3D4C">
      <w:r>
        <w:t xml:space="preserve">Here we apply </w:t>
      </w:r>
      <w:r w:rsidR="00124CF5">
        <w:t xml:space="preserve">a whole-genome sequencing </w:t>
      </w:r>
      <w:r>
        <w:t>strateg</w:t>
      </w:r>
      <w:r w:rsidR="00124CF5">
        <w:t>y</w:t>
      </w:r>
      <w:r>
        <w:t xml:space="preserve"> to understanding the evolution and divergence of </w:t>
      </w:r>
      <w:r w:rsidR="00124CF5">
        <w:t xml:space="preserve">these two genera, which collectively are the closest relatives of the cotton </w:t>
      </w:r>
      <w:proofErr w:type="gramStart"/>
      <w:r w:rsidR="00124CF5">
        <w:t xml:space="preserve">genus </w:t>
      </w:r>
      <w:r>
        <w:t xml:space="preserve"> </w:t>
      </w:r>
      <w:r>
        <w:rPr>
          <w:i/>
        </w:rPr>
        <w:t>Gossypium</w:t>
      </w:r>
      <w:proofErr w:type="gramEnd"/>
      <w:r>
        <w:t xml:space="preserve">. We present the first draft assembly of </w:t>
      </w:r>
      <w:r>
        <w:rPr>
          <w:i/>
        </w:rPr>
        <w:t>Kokia drynarioides</w:t>
      </w:r>
      <w:r>
        <w:t xml:space="preserve">, </w:t>
      </w:r>
      <w:r w:rsidR="00124CF5">
        <w:t xml:space="preserve">and compare it to the sequence of </w:t>
      </w:r>
      <w:r w:rsidR="00124CF5">
        <w:rPr>
          <w:i/>
        </w:rPr>
        <w:t>Gossypioides</w:t>
      </w:r>
      <w:r w:rsidR="00124CF5">
        <w:t xml:space="preserve"> </w:t>
      </w:r>
      <w:r w:rsidR="00124CF5">
        <w:rPr>
          <w:i/>
        </w:rPr>
        <w:t xml:space="preserve">kirkii </w:t>
      </w:r>
      <w:r w:rsidR="00124CF5">
        <w:t xml:space="preserve">(citation of </w:t>
      </w:r>
      <w:proofErr w:type="spellStart"/>
      <w:r w:rsidR="00124CF5">
        <w:t>Gk</w:t>
      </w:r>
      <w:proofErr w:type="spellEnd"/>
      <w:r w:rsidR="00124CF5">
        <w:t xml:space="preserve"> paper)</w:t>
      </w:r>
      <w:r>
        <w:t xml:space="preserve">. </w:t>
      </w:r>
      <w:r w:rsidR="00124CF5">
        <w:t xml:space="preserve">Through genome sequence comparisons, we derive a precise estimate of the divergence between these two genera, and provide a foundation for a </w:t>
      </w:r>
      <w:r w:rsidR="00AC4F78">
        <w:t xml:space="preserve">reference sequence </w:t>
      </w:r>
      <w:r w:rsidR="00124CF5">
        <w:t xml:space="preserve">to use </w:t>
      </w:r>
      <w:r w:rsidR="0005507F">
        <w:t>as</w:t>
      </w:r>
      <w:r w:rsidR="00124CF5">
        <w:t xml:space="preserve"> a phylogenetic outgroup to </w:t>
      </w:r>
      <w:r w:rsidR="00AC4F78">
        <w:rPr>
          <w:i/>
        </w:rPr>
        <w:t>Gossypium</w:t>
      </w:r>
      <w:r w:rsidR="00AC4F78">
        <w:t xml:space="preserve">. </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79C6590A" w:rsidR="002474F9" w:rsidRDefault="00EB0E31" w:rsidP="001E096A">
      <w:pPr>
        <w:rPr>
          <w:i/>
        </w:rPr>
      </w:pPr>
      <w:r>
        <w:rPr>
          <w:i/>
        </w:rPr>
        <w:t>Sequencing and genome assembly</w:t>
      </w:r>
    </w:p>
    <w:p w14:paraId="3DC99DF2" w14:textId="5CA36B3C" w:rsidR="00931973" w:rsidRPr="0005507F" w:rsidRDefault="0005507F" w:rsidP="001E096A">
      <w:r>
        <w:t>DNA was extracted from mature leaves using the Qiagen Plant DNeasy kit (Qiagen).</w:t>
      </w:r>
    </w:p>
    <w:p w14:paraId="4952D210" w14:textId="73A937AB" w:rsidR="00EB0E31" w:rsidRPr="00EA4D66" w:rsidRDefault="00EB0E31" w:rsidP="001E096A">
      <w:pPr>
        <w:rPr>
          <w:i/>
        </w:rPr>
      </w:pPr>
      <w:r>
        <w:rPr>
          <w:i/>
        </w:rPr>
        <w:t>Genome annotation</w:t>
      </w:r>
    </w:p>
    <w:p w14:paraId="36371CD3" w14:textId="77777777" w:rsidR="002474F9" w:rsidRPr="003D3D4C" w:rsidRDefault="002474F9" w:rsidP="001E096A">
      <w:pPr>
        <w:rPr>
          <w:b/>
        </w:rPr>
      </w:pPr>
    </w:p>
    <w:p w14:paraId="1355C4A4" w14:textId="2B5E7F53" w:rsidR="00485F39" w:rsidRDefault="00D732FA" w:rsidP="001E096A">
      <w:pPr>
        <w:rPr>
          <w:i/>
        </w:rPr>
      </w:pPr>
      <w:r>
        <w:rPr>
          <w:i/>
        </w:rPr>
        <w:t xml:space="preserve">Identification of Orthologs </w:t>
      </w:r>
    </w:p>
    <w:p w14:paraId="673FC62C" w14:textId="6C8369A7" w:rsidR="002474F9" w:rsidRDefault="002474F9" w:rsidP="001E096A">
      <w:r>
        <w:t xml:space="preserve">Amino acid sequences from </w:t>
      </w:r>
      <w:r>
        <w:rPr>
          <w:i/>
        </w:rPr>
        <w:t>G. kirkii,</w:t>
      </w:r>
      <w:r>
        <w:t xml:space="preserve"> </w:t>
      </w:r>
      <w:r>
        <w:rPr>
          <w:i/>
        </w:rPr>
        <w:t>G. raimondii</w:t>
      </w:r>
      <w:r>
        <w:t xml:space="preserve"> </w:t>
      </w:r>
      <w:r w:rsidR="00D705DF">
        <w:t xml:space="preserve">and </w:t>
      </w:r>
      <w:r w:rsidR="00D705DF">
        <w:rPr>
          <w:i/>
        </w:rPr>
        <w:t>K. drynarioides</w:t>
      </w:r>
      <w:r w:rsidR="00D705DF">
        <w:t xml:space="preserve"> </w:t>
      </w:r>
      <w:r>
        <w:t xml:space="preserve">were clustered using </w:t>
      </w:r>
      <w:proofErr w:type="spellStart"/>
      <w:r>
        <w:t>OrthoFinder</w:t>
      </w:r>
      <w:proofErr w:type="spellEnd"/>
      <w:r w:rsidR="00D705DF">
        <w:t xml:space="preserve"> v1.1.4</w:t>
      </w:r>
      <w:r>
        <w:fldChar w:fldCharType="begin" w:fldLock="1"/>
      </w:r>
      <w:r>
        <w:instrText>ADDIN CSL_CITATION { "citationItems" : [ { "id" : "ITEM-1", "itemData" : { "DOI" : "10.1186/s13059-015-0721-2", "ISSN" : "1474-760X", "PMID" : "26243257", "abstract" : "Identifying homology relationships between sequences is fundamental to biological research. Here we provide a novel orthogroup inference algorithm called OrthoFinder that solves a previously undetected gene length bias in orthogroup inference, resulting in significant improvements in accuracy. Using real benchmark datasets we demonstrate that OrthoFinder is more accurate than other orthogroup inference methods by between 8 {%} and 33 {%}. Furthermore, we demonstrate the utility of OrthoFinder by providing a complete classification of transcription factor gene families in plants revealing 6.9 million previously unobserved relationships.", "author" : [ { "dropping-particle" : "", "family" : "Emms", "given" : "David M.", "non-dropping-particle" : "", "parse-names" : false, "suffix" : "" }, { "dropping-particle" : "", "family" : "Kelly", "given" : "Steven", "non-dropping-particle" : "", "parse-names" : false, "suffix" : "" } ], "container-title" : "Genome Biology", "id" : "ITEM-1", "issue" : "1", "issued" : { "date-parts" : [ [ "2015" ] ] }, "page" : "157", "publisher" : "Genome Biology", "title" : "OrthoFinder: solving fundamental biases in whole genome comparisons dramatically improves orthogroup inference accuracy", "type" : "article-journal", "volume" : "16" }, "uris" : [ "http://www.mendeley.com/documents/?uuid=28dc5383-b049-48e6-a615-f20837a43780"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2474F9">
        <w:rPr>
          <w:noProof/>
          <w:vertAlign w:val="superscript"/>
        </w:rPr>
        <w:t>1</w:t>
      </w:r>
      <w:r>
        <w:fldChar w:fldCharType="end"/>
      </w:r>
      <w:r w:rsidR="002B679B">
        <w:t xml:space="preserve"> {</w:t>
      </w:r>
      <w:proofErr w:type="spellStart"/>
      <w:r w:rsidR="002B679B">
        <w:t>Emms</w:t>
      </w:r>
      <w:proofErr w:type="spellEnd"/>
      <w:r w:rsidR="002B679B">
        <w:t>,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proofErr w:type="spellStart"/>
      <w:r w:rsidR="00D705DF">
        <w:t>BLASTp</w:t>
      </w:r>
      <w:proofErr w:type="spellEnd"/>
      <w:r w:rsidR="00D705DF">
        <w:t xml:space="preserve"> scores </w:t>
      </w:r>
      <w:r w:rsidR="00117A32">
        <w:t xml:space="preserve">to infer homology between proteins sequences of different species. </w:t>
      </w:r>
      <w:proofErr w:type="spellStart"/>
      <w:r w:rsidR="00117A32">
        <w:t>OrthoFinder</w:t>
      </w:r>
      <w:proofErr w:type="spellEnd"/>
      <w:r w:rsidR="00117A32">
        <w:t xml:space="preserve"> is similar to OrthoMCL</w:t>
      </w:r>
      <w:r w:rsidR="00117A32">
        <w:fldChar w:fldCharType="begin" w:fldLock="1"/>
      </w:r>
      <w:r w:rsidR="00530862">
        <w:instrText>ADDIN CSL_CITATION { "citationItems" : [ { "id" : "ITEM-1", "itemData" : { "DOI" : "10.1101/gr.1224503.candidates", "ISSN" : "1088-9051", "PMID" : "1000044590", "abstract" : "The identification of orthologous groups is useful for genome annotation, studies on gene/protein evolution, comparative genomics, and the identification of taxonomically restricted sequences. Methods successfully exploited for prokaryotic genome analysis have proved difficult to apply to eukaryotes, however, as larger genomes may contain multiple paralogous genes, and sequence information is often incomplete. OrthoMCL provides a scalable method for constructing orthologous groups across multiple eukaryotic taxa, using a Markov Cluster algorithm to group (putative) orthologs and paralogs. This method performs similarly to the INPARANOID algorithm when applied to two genomes, but can be extended to cluster orthologs from multiple species. OrthoMCL clusters are coherent with groups identified by EGO, but improved recognition of \u201crecent\u201d paralogs permits overlapping EGO groups representing the same gene to be merged. Comparison with previously assigned EC annotations suggests a high degree of reliability, implying utility for automated eukaryotic genome annotation. OrthoMCL has been applied to the proteome data set from seven publicly available genomes (human, fly, worm, yeast, Arabidopsis, the malaria parasite Plasmodium falciparum, and Escherichia coli). A Web interface allows queries based on individual genes or user-defined phylogenetic patterns (http://www.cbil.upenn.edu/gene-family). Analysis of clusters incorporating P. falciparum genes identifies numerous enzymes that were incompletely annotated in first-pass annotation of the parasite genome.", "author" : [ { "dropping-particle" : "", "family" : "Li", "given" : "Li", "non-dropping-particle" : "", "parse-names" : false, "suffix" : "" }, { "dropping-particle" : "", "family" : "Stoeckert", "given" : "Christian J Jr", "non-dropping-particle" : "", "parse-names" : false, "suffix" : "" }, { "dropping-particle" : "", "family" : "Roos", "given" : "David S", "non-dropping-particle" : "", "parse-names" : false, "suffix" : "" } ], "container-title" : "Genome Research", "id" : "ITEM-1", "issue" : "9", "issued" : { "date-parts" : [ [ "2003" ] ] }, "page" : "2178-2189", "title" : "OrthoMCL: Identification of Ortholog Groups for Eukaryotic Genomes -- Li et al. 13 (9): 2178 -- Genome Research", "type" : "article-journal", "volume" : "13" }, "uris" : [ "http://www.mendeley.com/documents/?uuid=b2b11911-245c-4f3a-baa9-efdb266cd63f" ] } ], "mendeley" : { "formattedCitation" : "&lt;sup&gt;2&lt;/sup&gt;", "plainTextFormattedCitation" : "2", "previouslyFormattedCitation" : "&lt;sup&gt;2&lt;/sup&gt;" }, "properties" : { "noteIndex" : 0 }, "schema" : "https://github.com/citation-style-language/schema/raw/master/csl-citation.json" }</w:instrText>
      </w:r>
      <w:r w:rsidR="00117A32">
        <w:fldChar w:fldCharType="separate"/>
      </w:r>
      <w:r w:rsidR="00117A32" w:rsidRPr="00117A32">
        <w:rPr>
          <w:noProof/>
          <w:vertAlign w:val="superscript"/>
        </w:rPr>
        <w:t>2</w:t>
      </w:r>
      <w:r w:rsidR="00117A32">
        <w:fldChar w:fldCharType="end"/>
      </w:r>
      <w:r w:rsidR="002B679B">
        <w:t xml:space="preserve"> {Li, 2003 #34}</w:t>
      </w:r>
      <w:r w:rsidR="00117A32">
        <w:t>, but</w:t>
      </w:r>
      <w:r w:rsidR="00D705DF">
        <w:t xml:space="preserve"> </w:t>
      </w:r>
      <w:r w:rsidR="00EF725F">
        <w:t>reduces the number</w:t>
      </w:r>
      <w:r w:rsidR="00117A32">
        <w:t xml:space="preserve"> </w:t>
      </w:r>
      <w:r w:rsidR="00EF725F">
        <w:t xml:space="preserve">of </w:t>
      </w:r>
      <w:r w:rsidR="00117A32">
        <w:t xml:space="preserve">BLAST results </w:t>
      </w:r>
      <w:r w:rsidR="00EF725F">
        <w:t>by filter</w:t>
      </w:r>
      <w:r w:rsidR="00E227E0">
        <w:t>ing</w:t>
      </w:r>
      <w:r w:rsidR="00EF725F">
        <w:t xml:space="preserve"> scores based on reciprocal best hits (RBHs) </w:t>
      </w:r>
      <w:r w:rsidR="00117A32">
        <w:t xml:space="preserve">and </w:t>
      </w:r>
      <w:r w:rsidR="00D705DF">
        <w:t xml:space="preserve">corrects for </w:t>
      </w:r>
      <w:r>
        <w:t xml:space="preserve">gene length </w:t>
      </w:r>
      <w:r w:rsidR="00D705DF">
        <w:t xml:space="preserve">biases and </w:t>
      </w:r>
      <w:r w:rsidR="00D732FA">
        <w:t>floor-limitation of e-values</w:t>
      </w:r>
      <w:r>
        <w:t xml:space="preserve"> in BLAST scores</w:t>
      </w:r>
      <w:r w:rsidR="00EF725F" w:rsidRPr="00EF725F">
        <w:t xml:space="preserve"> </w:t>
      </w:r>
      <w:r w:rsidR="00EF725F">
        <w:t>prior to clustering</w:t>
      </w:r>
      <w:r w:rsidR="00117A32">
        <w:t xml:space="preserve">. These corrections have been shown to </w:t>
      </w:r>
      <w:r w:rsidR="00D732FA">
        <w:t xml:space="preserve">increases precision </w:t>
      </w:r>
      <w:r w:rsidR="00E227E0">
        <w:t xml:space="preserve">by improved </w:t>
      </w:r>
      <w:r w:rsidR="00117A32">
        <w:t xml:space="preserve">clustering </w:t>
      </w:r>
      <w:r w:rsidR="00E227E0">
        <w:t xml:space="preserve">of </w:t>
      </w:r>
      <w:r w:rsidR="00117A32">
        <w:t>singletons (</w:t>
      </w:r>
      <w:r w:rsidR="00E227E0">
        <w:t xml:space="preserve">i.e., </w:t>
      </w:r>
      <w:r w:rsidR="00117A32">
        <w:t xml:space="preserve">groups in which only one gene from each species is present) </w:t>
      </w:r>
      <w:r w:rsidR="00D732FA">
        <w:t>instead of entire gene families</w:t>
      </w:r>
      <w:r w:rsidR="00117A32">
        <w:t xml:space="preserve"> into </w:t>
      </w:r>
      <w:r w:rsidR="00E227E0">
        <w:t>a given</w:t>
      </w:r>
      <w:r w:rsidR="00117A32">
        <w:t xml:space="preserve"> orthologous group</w:t>
      </w:r>
      <w:r w:rsidR="00D732FA">
        <w:t xml:space="preserve">. </w:t>
      </w:r>
      <w:r w:rsidR="00EF725F">
        <w:t xml:space="preserve">Default </w:t>
      </w:r>
      <w:r w:rsidR="00530862">
        <w:t>values</w:t>
      </w:r>
      <w:r w:rsidR="00EF725F">
        <w:t xml:space="preserve"> were used for the inflation </w:t>
      </w:r>
      <w:r w:rsidR="00530862">
        <w:t xml:space="preserve">parameter (1.5) in the </w:t>
      </w:r>
      <w:r w:rsidR="00530862">
        <w:lastRenderedPageBreak/>
        <w:t>Markov clustering, and the “–</w:t>
      </w:r>
      <w:proofErr w:type="spellStart"/>
      <w:r w:rsidR="00530862">
        <w:t>og</w:t>
      </w:r>
      <w:proofErr w:type="spellEnd"/>
      <w:r w:rsidR="00530862">
        <w:t xml:space="preserve">” flag was used to prevent downstream analyses after the groups were generated. </w:t>
      </w:r>
    </w:p>
    <w:p w14:paraId="473FEC2D" w14:textId="77777777" w:rsidR="00D732FA" w:rsidRDefault="00D732FA" w:rsidP="001E096A"/>
    <w:p w14:paraId="101D47E3" w14:textId="78E0580F" w:rsidR="00D732FA" w:rsidRDefault="00A22A3C" w:rsidP="00D732FA">
      <w:pPr>
        <w:rPr>
          <w:i/>
        </w:rPr>
      </w:pPr>
      <w:proofErr w:type="spellStart"/>
      <w:r>
        <w:rPr>
          <w:i/>
        </w:rPr>
        <w:t>dN</w:t>
      </w:r>
      <w:proofErr w:type="spellEnd"/>
      <w:r>
        <w:rPr>
          <w:i/>
        </w:rPr>
        <w:t>/</w:t>
      </w:r>
      <w:proofErr w:type="spellStart"/>
      <w:r>
        <w:rPr>
          <w:i/>
        </w:rPr>
        <w:t>dS</w:t>
      </w:r>
      <w:proofErr w:type="spellEnd"/>
      <w:r w:rsidR="00D732FA" w:rsidRPr="002474F9">
        <w:rPr>
          <w:i/>
        </w:rPr>
        <w:t xml:space="preserve"> Estimation</w:t>
      </w:r>
      <w:r>
        <w:rPr>
          <w:i/>
        </w:rPr>
        <w:t xml:space="preserve"> and Timing of Divergence </w:t>
      </w:r>
    </w:p>
    <w:p w14:paraId="19DEED5A" w14:textId="706BEEF9" w:rsidR="00117A32" w:rsidRDefault="00117A32" w:rsidP="00D732FA">
      <w:r>
        <w:t xml:space="preserve">Singletons inferred from </w:t>
      </w:r>
      <w:proofErr w:type="spellStart"/>
      <w:r>
        <w:t>OrthoFinder</w:t>
      </w:r>
      <w:proofErr w:type="spellEnd"/>
      <w:r>
        <w:t xml:space="preserve"> </w:t>
      </w:r>
      <w:r w:rsidR="003548BB">
        <w:t>were separated into all 3 possible pairwise groups</w:t>
      </w:r>
      <w:r w:rsidR="00530862">
        <w:t xml:space="preserve"> (Gr + </w:t>
      </w:r>
      <w:proofErr w:type="spellStart"/>
      <w:r w:rsidR="00530862">
        <w:t>Gk</w:t>
      </w:r>
      <w:proofErr w:type="spellEnd"/>
      <w:r w:rsidR="00530862">
        <w:t xml:space="preserve">, Gr + </w:t>
      </w:r>
      <w:proofErr w:type="spellStart"/>
      <w:r w:rsidR="00530862">
        <w:t>Kd</w:t>
      </w:r>
      <w:proofErr w:type="spellEnd"/>
      <w:r w:rsidR="00530862">
        <w:t xml:space="preserve">, </w:t>
      </w:r>
      <w:proofErr w:type="spellStart"/>
      <w:r w:rsidR="00530862">
        <w:t>Kd</w:t>
      </w:r>
      <w:proofErr w:type="spellEnd"/>
      <w:r w:rsidR="00530862">
        <w:t xml:space="preserve"> + </w:t>
      </w:r>
      <w:proofErr w:type="spellStart"/>
      <w:r w:rsidR="00530862">
        <w:t>Gk</w:t>
      </w:r>
      <w:proofErr w:type="spellEnd"/>
      <w:r w:rsidR="00530862">
        <w:t>)</w:t>
      </w:r>
      <w:r w:rsidR="003548BB">
        <w:t>. Amino acid sequences from each pairwise group were then aligned using the pairwise2 python package and the BLOSUM62 substitution matrix. The highest scoring alignments were then used as a guide to</w:t>
      </w:r>
      <w:r w:rsidR="00143B35">
        <w:t xml:space="preserve"> codon-align the CDS sequences. The C</w:t>
      </w:r>
      <w:r w:rsidR="004B7CF5">
        <w:t>ODE</w:t>
      </w:r>
      <w:r w:rsidR="00143B35">
        <w:t xml:space="preserve">ML </w:t>
      </w:r>
      <w:r w:rsidR="004B7CF5">
        <w:t>package in</w:t>
      </w:r>
      <w:r w:rsidR="00143B35">
        <w:t xml:space="preserve"> P</w:t>
      </w:r>
      <w:r w:rsidR="00A22A3C">
        <w:t xml:space="preserve">AML </w:t>
      </w:r>
      <w:r w:rsidR="00A245C9">
        <w:t xml:space="preserve">{Yang, 2007 #31} </w:t>
      </w:r>
      <w:r w:rsidR="00A22A3C">
        <w:t xml:space="preserve">was used to calculate the </w:t>
      </w:r>
      <w:proofErr w:type="spellStart"/>
      <w:r w:rsidR="00A22A3C">
        <w:t>dN</w:t>
      </w:r>
      <w:proofErr w:type="spellEnd"/>
      <w:r w:rsidR="00A22A3C">
        <w:t xml:space="preserve">, </w:t>
      </w:r>
      <w:proofErr w:type="spellStart"/>
      <w:r w:rsidR="00A22A3C">
        <w:t>dS</w:t>
      </w:r>
      <w:proofErr w:type="spellEnd"/>
      <w:r w:rsidR="00A22A3C">
        <w:t xml:space="preserve">, and </w:t>
      </w:r>
      <w:proofErr w:type="spellStart"/>
      <w:r w:rsidR="00A22A3C">
        <w:t>dN</w:t>
      </w:r>
      <w:proofErr w:type="spellEnd"/>
      <w:r w:rsidR="00A22A3C">
        <w:t>/</w:t>
      </w:r>
      <w:proofErr w:type="spellStart"/>
      <w:r w:rsidR="00A22A3C">
        <w:t>dS</w:t>
      </w:r>
      <w:proofErr w:type="spellEnd"/>
      <w:r w:rsidR="00143B35">
        <w:t xml:space="preserve"> values. Singletons in which any pair</w:t>
      </w:r>
      <w:r w:rsidR="004B7CF5">
        <w:t xml:space="preserve">wise comparison resulted in </w:t>
      </w:r>
      <w:proofErr w:type="spellStart"/>
      <w:r w:rsidR="004B7CF5">
        <w:t>a dS</w:t>
      </w:r>
      <w:proofErr w:type="spellEnd"/>
      <w:r w:rsidR="00143B35">
        <w:t xml:space="preserve"> value greater than </w:t>
      </w:r>
      <w:commentRangeStart w:id="0"/>
      <w:commentRangeStart w:id="1"/>
      <w:r w:rsidR="00143B35">
        <w:t xml:space="preserve">0.03 </w:t>
      </w:r>
      <w:commentRangeEnd w:id="0"/>
      <w:r w:rsidR="00A22A3C">
        <w:rPr>
          <w:rStyle w:val="CommentReference"/>
        </w:rPr>
        <w:commentReference w:id="0"/>
      </w:r>
      <w:commentRangeEnd w:id="1"/>
      <w:r w:rsidR="000E432D">
        <w:rPr>
          <w:rStyle w:val="CommentReference"/>
        </w:rPr>
        <w:commentReference w:id="1"/>
      </w:r>
      <w:r w:rsidR="00143B35">
        <w:t xml:space="preserve">was </w:t>
      </w:r>
      <w:r w:rsidR="00A22A3C">
        <w:t xml:space="preserve">removed from the analysis and inferred to be a cluster of non-orthologous proteins. Distributions of all pairwise </w:t>
      </w:r>
      <w:proofErr w:type="spellStart"/>
      <w:r w:rsidR="00A22A3C">
        <w:t>dN</w:t>
      </w:r>
      <w:proofErr w:type="spellEnd"/>
      <w:r w:rsidR="00A22A3C">
        <w:t xml:space="preserve">, </w:t>
      </w:r>
      <w:proofErr w:type="spellStart"/>
      <w:r w:rsidR="00A22A3C">
        <w:t>dS</w:t>
      </w:r>
      <w:proofErr w:type="spellEnd"/>
      <w:r w:rsidR="00A22A3C">
        <w:t xml:space="preserve">, and </w:t>
      </w:r>
      <w:proofErr w:type="spellStart"/>
      <w:r w:rsidR="00A22A3C">
        <w:t>dN</w:t>
      </w:r>
      <w:proofErr w:type="spellEnd"/>
      <w:r w:rsidR="00A22A3C">
        <w:t>/</w:t>
      </w:r>
      <w:proofErr w:type="spellStart"/>
      <w:r w:rsidR="00A22A3C">
        <w:t>dS</w:t>
      </w:r>
      <w:proofErr w:type="spellEnd"/>
      <w:r w:rsidR="00A22A3C">
        <w:t xml:space="preserve"> values were then plotted, and mean value and standar</w:t>
      </w:r>
      <w:r w:rsidR="009E65C9">
        <w:t>d deviation is reported. Estimates of total divergence time between each pairwise group was calculated using the equation T=</w:t>
      </w:r>
      <w:proofErr w:type="spellStart"/>
      <w:r w:rsidR="000E5256">
        <w:t>dS</w:t>
      </w:r>
      <w:proofErr w:type="spellEnd"/>
      <w:r w:rsidR="009E65C9">
        <w:t xml:space="preserve">/(2r) where r is the absolute rate of synonymous substitutions of </w:t>
      </w:r>
      <w:proofErr w:type="spellStart"/>
      <w:r w:rsidR="009E65C9">
        <w:t>Adh</w:t>
      </w:r>
      <w:proofErr w:type="spellEnd"/>
      <w:r w:rsidR="009E65C9">
        <w:t xml:space="preserve"> genes in palms (2.6 X 10</w:t>
      </w:r>
      <w:r w:rsidR="009E65C9" w:rsidRPr="00EA4D66">
        <w:rPr>
          <w:vertAlign w:val="superscript"/>
        </w:rPr>
        <w:t>-9</w:t>
      </w:r>
      <w:r w:rsidR="009E65C9">
        <w:t xml:space="preserve"> </w:t>
      </w:r>
      <w:r w:rsidR="00EF725F">
        <w:t>substitutions X</w:t>
      </w:r>
      <w:r w:rsidR="009E65C9">
        <w:t xml:space="preserve"> substitution site</w:t>
      </w:r>
      <w:r w:rsidR="00EF725F" w:rsidRPr="00EA4D66">
        <w:rPr>
          <w:vertAlign w:val="superscript"/>
        </w:rPr>
        <w:t>-1</w:t>
      </w:r>
      <w:r w:rsidR="00EF725F">
        <w:t xml:space="preserve"> X</w:t>
      </w:r>
      <w:r w:rsidR="009E65C9">
        <w:t xml:space="preserve"> year</w:t>
      </w:r>
      <w:r w:rsidR="00EF725F" w:rsidRPr="00EA4D66">
        <w:rPr>
          <w:vertAlign w:val="superscript"/>
        </w:rPr>
        <w:t>-1</w:t>
      </w:r>
      <w:r w:rsidR="00EF725F">
        <w:t xml:space="preserve">) </w:t>
      </w:r>
      <w:r w:rsidR="00A245C9">
        <w:t>{Cronn, 2002 #</w:t>
      </w:r>
      <w:proofErr w:type="gramStart"/>
      <w:r w:rsidR="00A245C9">
        <w:t>26}{</w:t>
      </w:r>
      <w:proofErr w:type="gramEnd"/>
      <w:r w:rsidR="00A245C9">
        <w:t xml:space="preserve">Morton, 1996 #32} </w:t>
      </w:r>
      <w:r w:rsidR="00EF725F">
        <w:t xml:space="preserve">or members of </w:t>
      </w:r>
      <w:proofErr w:type="spellStart"/>
      <w:r w:rsidR="00EF725F">
        <w:t>Brassicaceae</w:t>
      </w:r>
      <w:proofErr w:type="spellEnd"/>
      <w:r w:rsidR="00EF725F">
        <w:t xml:space="preserve"> (1.5 X 10</w:t>
      </w:r>
      <w:r w:rsidR="00EF725F" w:rsidRPr="00EA4D66">
        <w:rPr>
          <w:vertAlign w:val="superscript"/>
        </w:rPr>
        <w:t>-8</w:t>
      </w:r>
      <w:r w:rsidR="00EF725F">
        <w:t xml:space="preserve"> substitutions X synonymous site</w:t>
      </w:r>
      <w:r w:rsidR="00EF725F" w:rsidRPr="00EA4D66">
        <w:rPr>
          <w:vertAlign w:val="superscript"/>
        </w:rPr>
        <w:t>-1</w:t>
      </w:r>
      <w:r w:rsidR="00EF725F">
        <w:t xml:space="preserve"> X year</w:t>
      </w:r>
      <w:r w:rsidR="00EF725F" w:rsidRPr="00EA4D66">
        <w:rPr>
          <w:vertAlign w:val="superscript"/>
        </w:rPr>
        <w:t>-1</w:t>
      </w:r>
      <w:r w:rsidR="00EF725F">
        <w:t>)</w:t>
      </w:r>
      <w:r w:rsidR="00A245C9">
        <w:t xml:space="preserve"> {Koch, 2000 #30}</w:t>
      </w:r>
      <w:r w:rsidR="009E65C9">
        <w:t xml:space="preserve">. </w:t>
      </w:r>
    </w:p>
    <w:p w14:paraId="76A807DF" w14:textId="77777777" w:rsidR="00117A32" w:rsidRPr="00C261F9" w:rsidRDefault="00117A32" w:rsidP="00D732FA"/>
    <w:p w14:paraId="1844546A" w14:textId="10671B43" w:rsidR="00117A32" w:rsidRDefault="00117A32" w:rsidP="00D732FA">
      <w:pPr>
        <w:rPr>
          <w:i/>
        </w:rPr>
      </w:pPr>
      <w:r>
        <w:rPr>
          <w:i/>
        </w:rPr>
        <w:t>Copy Number Variation Estimation</w:t>
      </w:r>
    </w:p>
    <w:p w14:paraId="151C9047" w14:textId="70809952" w:rsidR="00D732FA" w:rsidRPr="00D705DF" w:rsidRDefault="00101150" w:rsidP="00D732FA">
      <w:r>
        <w:t xml:space="preserve">A custom Python script </w:t>
      </w:r>
      <w:r w:rsidR="002B679B">
        <w:t>(</w:t>
      </w:r>
      <w:bookmarkStart w:id="2" w:name="_GoBack"/>
      <w:bookmarkEnd w:id="2"/>
      <w:r w:rsidR="00EA4D66">
        <w:fldChar w:fldCharType="begin"/>
      </w:r>
      <w:r w:rsidR="00EA4D66">
        <w:instrText xml:space="preserve"> HYPERLINK "https://github.com/Wendellab/KokiaKirkii" </w:instrText>
      </w:r>
      <w:r w:rsidR="00EA4D66">
        <w:fldChar w:fldCharType="separate"/>
      </w:r>
      <w:r w:rsidR="002B679B" w:rsidRPr="00DC5C67">
        <w:rPr>
          <w:rStyle w:val="Hyperlink"/>
        </w:rPr>
        <w:t>https://github.com/Wendellab/KokiaKirkii</w:t>
      </w:r>
      <w:r w:rsidR="00EA4D66">
        <w:rPr>
          <w:rStyle w:val="Hyperlink"/>
        </w:rPr>
        <w:fldChar w:fldCharType="end"/>
      </w:r>
      <w:r w:rsidR="002B679B">
        <w:t xml:space="preserve">) </w:t>
      </w:r>
      <w:r>
        <w:t xml:space="preserve">was used to calculate lineage-specific gene losses and duplications as inferred by </w:t>
      </w:r>
      <w:proofErr w:type="spellStart"/>
      <w:r>
        <w:t>OrthoFinder</w:t>
      </w:r>
      <w:proofErr w:type="spellEnd"/>
      <w:r>
        <w:t xml:space="preserve">. </w:t>
      </w:r>
      <w:r w:rsidR="00530862">
        <w:t>A gene loss was defined as</w:t>
      </w:r>
      <w:r>
        <w:t xml:space="preserve"> an orthologous group in which 2 species had the same number of genes present (</w:t>
      </w:r>
      <w:r w:rsidRPr="00C261F9">
        <w:rPr>
          <w:i/>
        </w:rPr>
        <w:t>n</w:t>
      </w:r>
      <w:r>
        <w:t xml:space="preserve">), but the third species contained </w:t>
      </w:r>
      <w:r w:rsidRPr="00C261F9">
        <w:rPr>
          <w:i/>
        </w:rPr>
        <w:t>n-1</w:t>
      </w:r>
      <w:r>
        <w:t xml:space="preserve"> genes. Likewise, a gene duplication was identified by 2 species containing </w:t>
      </w:r>
      <w:r w:rsidRPr="00C261F9">
        <w:rPr>
          <w:i/>
        </w:rPr>
        <w:t>n</w:t>
      </w:r>
      <w:r>
        <w:t xml:space="preserve"> genes, while the third contained </w:t>
      </w:r>
      <w:r w:rsidRPr="00C261F9">
        <w:rPr>
          <w:i/>
        </w:rPr>
        <w:t>n+</w:t>
      </w:r>
      <w:commentRangeStart w:id="3"/>
      <w:commentRangeStart w:id="4"/>
      <w:r w:rsidRPr="00C261F9">
        <w:rPr>
          <w:i/>
        </w:rPr>
        <w:t>1</w:t>
      </w:r>
      <w:commentRangeEnd w:id="3"/>
      <w:r>
        <w:rPr>
          <w:rStyle w:val="CommentReference"/>
        </w:rPr>
        <w:commentReference w:id="3"/>
      </w:r>
      <w:commentRangeEnd w:id="4"/>
      <w:r w:rsidR="000E432D">
        <w:rPr>
          <w:rStyle w:val="CommentReference"/>
        </w:rPr>
        <w:commentReference w:id="4"/>
      </w:r>
      <w:r>
        <w:t xml:space="preserve">. </w:t>
      </w:r>
    </w:p>
    <w:p w14:paraId="089678E2" w14:textId="77777777" w:rsidR="00EB0E31" w:rsidRDefault="00EB0E31" w:rsidP="001E096A">
      <w:pPr>
        <w:rPr>
          <w:i/>
        </w:rPr>
      </w:pP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52858A1A" w:rsidR="00B032E0" w:rsidRPr="00091D34" w:rsidRDefault="00B032E0">
      <w:r w:rsidRPr="00EA4D66">
        <w:t xml:space="preserve">All reads from one of the paired-end files (i.e., R1) were filtered for quality and trimmed to a standard 95nt using </w:t>
      </w:r>
      <w:proofErr w:type="spellStart"/>
      <w:r w:rsidRPr="00EA4D66">
        <w:rPr>
          <w:shd w:val="clear" w:color="auto" w:fill="FFFFFF"/>
        </w:rPr>
        <w:t>Trimmomatic</w:t>
      </w:r>
      <w:proofErr w:type="spellEnd"/>
      <w:r w:rsidRPr="00EA4D66">
        <w:rPr>
          <w:shd w:val="clear" w:color="auto" w:fill="FFFFFF"/>
        </w:rPr>
        <w:t xml:space="preserve"> version 0.33 </w:t>
      </w:r>
      <w:r w:rsidR="002B679B">
        <w:rPr>
          <w:shd w:val="clear" w:color="auto" w:fill="FFFFFF"/>
        </w:rPr>
        <w:t>{Bolger, 2014 #35}</w:t>
      </w:r>
      <w:r w:rsidRPr="00EA4D66">
        <w:rPr>
          <w:shd w:val="clear" w:color="auto" w:fill="FFFFFF"/>
        </w:rPr>
        <w:t xml:space="preserve"> as per (</w:t>
      </w:r>
      <w:hyperlink r:id="rId8"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{Hendrix, 2005 #</w:t>
      </w:r>
      <w:proofErr w:type="gramStart"/>
      <w:r w:rsidR="002B679B">
        <w:t>36}{</w:t>
      </w:r>
      <w:proofErr w:type="gramEnd"/>
      <w:r w:rsidR="002B679B">
        <w:t>Wendel, 2002 #37}</w:t>
      </w:r>
      <w:r w:rsidRPr="00EA4D66">
        <w:t xml:space="preserve"> and combined as input into the RepeatExplorer pipeline</w:t>
      </w:r>
      <w:r w:rsidR="002B679B">
        <w:t xml:space="preserve"> {</w:t>
      </w:r>
      <w:proofErr w:type="spellStart"/>
      <w:r w:rsidR="002B679B">
        <w:t>Novák</w:t>
      </w:r>
      <w:proofErr w:type="spellEnd"/>
      <w:r w:rsidR="002B679B">
        <w:t>, 2013 #38}{</w:t>
      </w:r>
      <w:proofErr w:type="spellStart"/>
      <w:r w:rsidR="002B679B">
        <w:t>Novák</w:t>
      </w:r>
      <w:proofErr w:type="spellEnd"/>
      <w:r w:rsidR="002B679B">
        <w:t>,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w:t>
      </w:r>
      <w:proofErr w:type="spellStart"/>
      <w:r w:rsidR="00091D34">
        <w:t>RepeatMasker</w:t>
      </w:r>
      <w:proofErr w:type="spellEnd"/>
      <w:r w:rsidR="00091D34">
        <w:t xml:space="preserve"> </w:t>
      </w:r>
      <w:r w:rsidR="003F7146">
        <w:t>{Smit, 2013-2015 #40}</w:t>
      </w:r>
      <w:r w:rsidR="00091D34">
        <w:t xml:space="preserve"> </w:t>
      </w:r>
      <w:r w:rsidRPr="00091D34">
        <w:t xml:space="preserve">using </w:t>
      </w:r>
      <w:r w:rsidRPr="00EA4D66">
        <w:t xml:space="preserve">a custom library derived from a combination of </w:t>
      </w:r>
      <w:proofErr w:type="spellStart"/>
      <w:r w:rsidRPr="00EA4D66">
        <w:t>Repbase</w:t>
      </w:r>
      <w:proofErr w:type="spellEnd"/>
      <w:r w:rsidRPr="00EA4D66">
        <w:t xml:space="preserve"> version WHATEVER </w:t>
      </w:r>
      <w:r w:rsidR="003F7146">
        <w:t>{</w:t>
      </w:r>
      <w:proofErr w:type="spellStart"/>
      <w:r w:rsidR="003F7146">
        <w:t>Bao</w:t>
      </w:r>
      <w:proofErr w:type="spellEnd"/>
      <w:r w:rsidR="003F7146">
        <w:t>, 2015 #41}</w:t>
      </w:r>
      <w:r w:rsidRPr="00EA4D66">
        <w:t xml:space="preserve"> and previously annotated cotton repeats </w:t>
      </w:r>
      <w:r w:rsidR="003F7146">
        <w:t>{Paterson, 2012 #</w:t>
      </w:r>
      <w:proofErr w:type="gramStart"/>
      <w:r w:rsidR="003F7146">
        <w:t>42}{</w:t>
      </w:r>
      <w:proofErr w:type="gramEnd"/>
      <w:r w:rsidR="003F7146">
        <w:t>Grover, 2008 #58;Grover, 2007 #62;Grover, 2004 #63}{Hawkins, 2006 #65}</w:t>
      </w:r>
      <w:r w:rsidRPr="00091D34">
        <w:t>.</w:t>
      </w:r>
      <w:r w:rsidR="00315614">
        <w:t xml:space="preserve"> A cutoff of 0.01% read representation is common; however, we evaluated the suitability of this cut using a log of diminishing returns (FIGURE WHATEVER; </w:t>
      </w:r>
      <w:hyperlink r:id="rId9" w:history="1">
        <w:r w:rsidR="002B679B" w:rsidRPr="00DC5C67">
          <w:rPr>
            <w:rStyle w:val="Hyperlink"/>
          </w:rPr>
          <w:t>https://github.com/Wendellab/KokiaKirkii</w:t>
        </w:r>
      </w:hyperlink>
      <w:r w:rsidR="00315614">
        <w:t xml:space="preserve">). </w:t>
      </w:r>
    </w:p>
    <w:p w14:paraId="4DCC15E9" w14:textId="4EC1E45A" w:rsidR="00B032E0" w:rsidRPr="0023383F" w:rsidRDefault="004C1A29" w:rsidP="00B032E0">
      <w:r>
        <w:t xml:space="preserve">Within the annotated clusters, the number of </w:t>
      </w:r>
      <w:proofErr w:type="spellStart"/>
      <w:r>
        <w:t>megabases</w:t>
      </w:r>
      <w:proofErr w:type="spellEnd"/>
      <w:r>
        <w:t xml:space="preserve"> (Mb) attributable to that cluster (i.e., element type) for each genome/accession was calculated based on the 1% genome representation of the sample </w:t>
      </w:r>
      <w:r>
        <w:lastRenderedPageBreak/>
        <w:t xml:space="preserve">and the standardized read length of 95 </w:t>
      </w:r>
      <w:proofErr w:type="spellStart"/>
      <w:r>
        <w:t>nt</w:t>
      </w:r>
      <w:proofErr w:type="spellEnd"/>
      <w:r>
        <w:t xml:space="preserve">;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23383F" w:rsidRPr="00EA4D66">
        <w:t>All analys</w:t>
      </w:r>
      <w:r w:rsidR="00420338">
        <w:t>e</w:t>
      </w:r>
      <w:r w:rsidR="0023383F" w:rsidRPr="00EA4D66">
        <w:t xml:space="preserve">s were conducted in R </w:t>
      </w:r>
      <w:r w:rsidR="003F7146">
        <w:t>{Team, 2017 #66}; R versions and scripts</w:t>
      </w:r>
      <w:r w:rsidR="0023383F" w:rsidRPr="00EA4D66">
        <w:t xml:space="preserve"> </w:t>
      </w:r>
      <w:r w:rsidR="009C7C8B">
        <w:t>are</w:t>
      </w:r>
      <w:r w:rsidR="0023383F" w:rsidRPr="00EA4D66">
        <w:t xml:space="preserve"> available at (</w:t>
      </w:r>
      <w:hyperlink r:id="rId10" w:history="1">
        <w:r w:rsidR="003F7146" w:rsidRPr="00DC5C67">
          <w:rPr>
            <w:rStyle w:val="Hyperlink"/>
          </w:rPr>
          <w:t>https://github.com/Wendellab/KokiaKirkii</w:t>
        </w:r>
      </w:hyperlink>
      <w:r w:rsidR="0023383F" w:rsidRPr="00EA4D66">
        <w:t xml:space="preserve">). </w:t>
      </w:r>
    </w:p>
    <w:p w14:paraId="0794F0FA" w14:textId="1A904EC6" w:rsidR="007F3F6C" w:rsidRPr="00EA4D66" w:rsidRDefault="007F3F6C" w:rsidP="001E096A">
      <w:pPr>
        <w:rPr>
          <w:i/>
        </w:rPr>
      </w:pPr>
      <w:r w:rsidRPr="00EA4D66">
        <w:rPr>
          <w:i/>
        </w:rPr>
        <w:t>Repeat heterogeneity and relative age</w:t>
      </w:r>
    </w:p>
    <w:p w14:paraId="4ECCC3DC" w14:textId="007271E6" w:rsidR="00EB0E31" w:rsidRDefault="007F3F6C" w:rsidP="001E096A">
      <w:r>
        <w:t xml:space="preserve">Relative cluster age was approximated using the among-read divergence profile of each cluster, as previously used for </w:t>
      </w:r>
      <w:proofErr w:type="spellStart"/>
      <w:r w:rsidRPr="00EA4D66">
        <w:rPr>
          <w:i/>
        </w:rPr>
        <w:t>Fritillaria</w:t>
      </w:r>
      <w:proofErr w:type="spellEnd"/>
      <w:r>
        <w:t xml:space="preserve"> </w:t>
      </w:r>
      <w:r w:rsidR="003F7146">
        <w:t>{Kelly, 2015 #68}</w:t>
      </w:r>
      <w:r>
        <w:t xml:space="preserve"> and dandelion</w:t>
      </w:r>
      <w:r w:rsidR="003F7146">
        <w:t xml:space="preserve"> {Ferreira de </w:t>
      </w:r>
      <w:proofErr w:type="spellStart"/>
      <w:r w:rsidR="003F7146">
        <w:t>Carvalho</w:t>
      </w:r>
      <w:proofErr w:type="spellEnd"/>
      <w:r w:rsidR="003F7146">
        <w:t>, 2016 #67}</w:t>
      </w:r>
      <w:r>
        <w:t xml:space="preserve">. Briefly, an all-versus-all </w:t>
      </w:r>
      <w:proofErr w:type="spellStart"/>
      <w:r>
        <w:t>BLASTn</w:t>
      </w:r>
      <w:proofErr w:type="spellEnd"/>
      <w:r>
        <w:t xml:space="preserve"> </w:t>
      </w:r>
      <w:r w:rsidR="00953E24">
        <w:t>{</w:t>
      </w:r>
      <w:proofErr w:type="spellStart"/>
      <w:r w:rsidR="00953E24">
        <w:t>Boratyn</w:t>
      </w:r>
      <w:proofErr w:type="spellEnd"/>
      <w:r w:rsidR="00953E24">
        <w:t>, 2013 #69} {</w:t>
      </w:r>
      <w:proofErr w:type="spellStart"/>
      <w:r w:rsidR="00953E24">
        <w:t>Altschul</w:t>
      </w:r>
      <w:proofErr w:type="spellEnd"/>
      <w:r w:rsidR="00953E24">
        <w:t xml:space="preserve">, 1990 #70}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w:t>
      </w:r>
      <w:proofErr w:type="spellStart"/>
      <w:r w:rsidR="008F007C" w:rsidRPr="008F007C">
        <w:t>bX</w:t>
      </w:r>
      <w:proofErr w:type="spellEnd"/>
      <w:r w:rsidR="008F007C">
        <w:t>) or quadratic</w:t>
      </w:r>
      <w:r w:rsidR="008F007C" w:rsidRPr="008F007C">
        <w:t xml:space="preserve"> </w:t>
      </w:r>
      <w:r w:rsidR="008F007C">
        <w:t>(</w:t>
      </w:r>
      <w:r w:rsidR="008F007C" w:rsidRPr="008F007C">
        <w:t>Y = a + </w:t>
      </w:r>
      <w:proofErr w:type="spellStart"/>
      <w:r w:rsidR="008F007C" w:rsidRPr="008F007C">
        <w:t>bX</w:t>
      </w:r>
      <w:proofErr w:type="spellEnd"/>
      <w:r w:rsidR="008F007C" w:rsidRPr="008F007C">
        <w:t> + cX</w:t>
      </w:r>
      <w:r w:rsidR="008F007C" w:rsidRPr="00EA4D66">
        <w:rPr>
          <w:vertAlign w:val="superscript"/>
        </w:rPr>
        <w:t>2</w:t>
      </w:r>
      <w:r w:rsidR="008F007C">
        <w:t>), and the model with the highest confidence was determined via Bayesian Information Criterion</w:t>
      </w:r>
      <w:r w:rsidR="00953E24">
        <w:t xml:space="preserve"> {Schwarz,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WHATEVER)</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 xml:space="preserve">Ferreira de </w:t>
      </w:r>
      <w:proofErr w:type="spellStart"/>
      <w:r w:rsidR="00D16902">
        <w:t>Carvalho</w:t>
      </w:r>
      <w:proofErr w:type="spellEnd"/>
      <w:r w:rsidR="00D16902">
        <w:t xml:space="preserve">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77B8D59" w:rsidR="004E5F56" w:rsidRPr="00EA4D66" w:rsidRDefault="00C908C6" w:rsidP="004E5F56">
      <w:r>
        <w:t xml:space="preserve">Comparison of </w:t>
      </w:r>
      <w:proofErr w:type="gramStart"/>
      <w:r>
        <w:t xml:space="preserve">abundance </w:t>
      </w:r>
      <w:r w:rsidR="0088197C">
        <w:t xml:space="preserve"> </w:t>
      </w:r>
      <w:r w:rsidR="0004228B">
        <w:t>for</w:t>
      </w:r>
      <w:proofErr w:type="gramEnd"/>
      <w:r w:rsidR="0004228B">
        <w:t xml:space="preserve">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 xml:space="preserve">via </w:t>
      </w:r>
      <w:proofErr w:type="spellStart"/>
      <w:r w:rsidR="0088197C">
        <w:t>ggplot</w:t>
      </w:r>
      <w:proofErr w:type="spellEnd"/>
      <w:r w:rsidR="00953E24">
        <w:t xml:space="preserve"> {Wickham,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proofErr w:type="spellStart"/>
      <w:r w:rsidR="00953E24">
        <w:t>Benjamini</w:t>
      </w:r>
      <w:proofErr w:type="spellEnd"/>
      <w:r w:rsidR="00953E24">
        <w:t>-Hochberg</w:t>
      </w:r>
      <w:r w:rsidR="0004228B">
        <w:t xml:space="preserve"> correction</w:t>
      </w:r>
      <w:r>
        <w:t xml:space="preserve"> for multiple testing</w:t>
      </w:r>
      <w:r w:rsidR="00953E24">
        <w:t xml:space="preserve"> {</w:t>
      </w:r>
      <w:proofErr w:type="spellStart"/>
      <w:r w:rsidR="00953E24">
        <w:t>Benjamini</w:t>
      </w:r>
      <w:proofErr w:type="spellEnd"/>
      <w:r w:rsidR="00953E24">
        <w:t>, 2001 #73}</w:t>
      </w:r>
      <w:r w:rsidR="0004228B" w:rsidRPr="0004228B">
        <w:t>.</w:t>
      </w:r>
    </w:p>
    <w:p w14:paraId="503D8AC0" w14:textId="77777777" w:rsidR="00EB0E31" w:rsidRPr="00EA4D66" w:rsidRDefault="00EB0E31" w:rsidP="001E096A"/>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1E096A">
      <w:pPr>
        <w:rPr>
          <w:i/>
        </w:rPr>
      </w:pPr>
      <w:r w:rsidRPr="00C908C6">
        <w:rPr>
          <w:i/>
        </w:rPr>
        <w:t>Kokia genome assembly and annotation</w:t>
      </w:r>
    </w:p>
    <w:p w14:paraId="3D25CEA3" w14:textId="74EC7696" w:rsidR="001E096A" w:rsidRDefault="00C908C6" w:rsidP="001E096A">
      <w:r>
        <w:t>STATS ON THE KOKIA GENOME HERE. STATS ON THE ANNOTATION TOO.</w:t>
      </w:r>
    </w:p>
    <w:p w14:paraId="3EFFC319" w14:textId="535E4EE1" w:rsidR="00C908C6" w:rsidRDefault="00C908C6" w:rsidP="001E096A"/>
    <w:p w14:paraId="6404EBFF" w14:textId="61B1DE98" w:rsidR="00C908C6" w:rsidRDefault="00C908C6" w:rsidP="001E096A">
      <w:r>
        <w:rPr>
          <w:i/>
        </w:rPr>
        <w:lastRenderedPageBreak/>
        <w:t>Molecular evolution</w:t>
      </w:r>
      <w:r>
        <w:t xml:space="preserve"> </w:t>
      </w:r>
      <w:r>
        <w:rPr>
          <w:i/>
        </w:rPr>
        <w:t xml:space="preserve">between </w:t>
      </w:r>
      <w:r>
        <w:t xml:space="preserve">Kokia drynarioides </w:t>
      </w:r>
      <w:r>
        <w:rPr>
          <w:i/>
        </w:rPr>
        <w:t>and</w:t>
      </w:r>
      <w:r>
        <w:t xml:space="preserve"> Gossypioides kirkii</w:t>
      </w:r>
    </w:p>
    <w:p w14:paraId="436C0777" w14:textId="77777777" w:rsidR="00C908C6" w:rsidRDefault="00C908C6" w:rsidP="00EA4D66">
      <w:pPr>
        <w:pStyle w:val="ListParagraph"/>
        <w:numPr>
          <w:ilvl w:val="0"/>
          <w:numId w:val="1"/>
        </w:numPr>
      </w:pPr>
      <w:r>
        <w:t>Outgroup equivalency/utility: are they equal for molecular evolutionary purposes</w:t>
      </w:r>
    </w:p>
    <w:p w14:paraId="30120CEF" w14:textId="77777777" w:rsidR="005C5E71" w:rsidRDefault="005C5E71" w:rsidP="00EA4D66">
      <w:pPr>
        <w:pStyle w:val="ListParagraph"/>
        <w:numPr>
          <w:ilvl w:val="1"/>
          <w:numId w:val="1"/>
        </w:numPr>
      </w:pPr>
      <w:r>
        <w:t>Limited by no population data</w:t>
      </w:r>
    </w:p>
    <w:p w14:paraId="22672BFC" w14:textId="77777777" w:rsidR="00C908C6" w:rsidRDefault="00C908C6" w:rsidP="00EA4D66">
      <w:pPr>
        <w:pStyle w:val="ListParagraph"/>
        <w:numPr>
          <w:ilvl w:val="1"/>
          <w:numId w:val="1"/>
        </w:numPr>
      </w:pPr>
      <w:r>
        <w:t xml:space="preserve">Ks/Ks of </w:t>
      </w:r>
      <w:proofErr w:type="spellStart"/>
      <w:r>
        <w:t>Gk</w:t>
      </w:r>
      <w:proofErr w:type="spellEnd"/>
      <w:r>
        <w:t xml:space="preserve">-Gr versus </w:t>
      </w:r>
      <w:proofErr w:type="spellStart"/>
      <w:r>
        <w:t>Kd</w:t>
      </w:r>
      <w:proofErr w:type="spellEnd"/>
      <w:r>
        <w:t>-Gr; are they equivalent</w:t>
      </w:r>
    </w:p>
    <w:p w14:paraId="6B0F2E86" w14:textId="77777777" w:rsidR="00C908C6" w:rsidRDefault="00C908C6" w:rsidP="00EA4D66">
      <w:pPr>
        <w:pStyle w:val="ListParagraph"/>
        <w:numPr>
          <w:ilvl w:val="1"/>
          <w:numId w:val="1"/>
        </w:numPr>
      </w:pPr>
      <w:r>
        <w:t xml:space="preserve">Gene cluster comparisons: does </w:t>
      </w:r>
      <w:proofErr w:type="spellStart"/>
      <w:r>
        <w:t>Gk</w:t>
      </w:r>
      <w:proofErr w:type="spellEnd"/>
      <w:r>
        <w:t xml:space="preserve"> or </w:t>
      </w:r>
      <w:proofErr w:type="spellStart"/>
      <w:r>
        <w:t>Kd</w:t>
      </w:r>
      <w:proofErr w:type="spellEnd"/>
      <w:r>
        <w:t xml:space="preserve"> perform equivalently?</w:t>
      </w:r>
    </w:p>
    <w:p w14:paraId="4078AB90" w14:textId="77777777" w:rsidR="00C908C6" w:rsidRDefault="00C908C6" w:rsidP="00EA4D66">
      <w:pPr>
        <w:pStyle w:val="ListParagraph"/>
        <w:numPr>
          <w:ilvl w:val="2"/>
          <w:numId w:val="1"/>
        </w:numPr>
      </w:pPr>
      <w:r>
        <w:t>i.e., number of Gr-</w:t>
      </w:r>
      <w:proofErr w:type="spellStart"/>
      <w:r>
        <w:t>Kd</w:t>
      </w:r>
      <w:proofErr w:type="spellEnd"/>
      <w:r>
        <w:t xml:space="preserve"> only groups versus number of Gr-</w:t>
      </w:r>
      <w:proofErr w:type="spellStart"/>
      <w:r>
        <w:t>Gk</w:t>
      </w:r>
      <w:proofErr w:type="spellEnd"/>
      <w:r>
        <w:t xml:space="preserve"> only groups</w:t>
      </w:r>
    </w:p>
    <w:p w14:paraId="705A87E7" w14:textId="77777777" w:rsidR="00C908C6" w:rsidRDefault="00C908C6" w:rsidP="00EA4D66">
      <w:pPr>
        <w:pStyle w:val="ListParagraph"/>
        <w:numPr>
          <w:ilvl w:val="1"/>
          <w:numId w:val="1"/>
        </w:numPr>
      </w:pPr>
      <w:r>
        <w:t>when would having two outgroups be of a benefit</w:t>
      </w:r>
    </w:p>
    <w:p w14:paraId="4814CC88" w14:textId="77777777" w:rsidR="00C908C6" w:rsidRDefault="00C908C6" w:rsidP="00C908C6">
      <w:pPr>
        <w:pStyle w:val="ListParagraph"/>
        <w:numPr>
          <w:ilvl w:val="1"/>
          <w:numId w:val="1"/>
        </w:numPr>
      </w:pPr>
      <w:r>
        <w:t xml:space="preserve">Ka/Ks for </w:t>
      </w:r>
      <w:proofErr w:type="spellStart"/>
      <w:r>
        <w:t>Gk-Kd</w:t>
      </w:r>
      <w:proofErr w:type="spellEnd"/>
      <w:r>
        <w:t>: high or low? What do we expect?</w:t>
      </w:r>
    </w:p>
    <w:p w14:paraId="42125482" w14:textId="77777777" w:rsidR="005C5E71" w:rsidRDefault="00C908C6" w:rsidP="001E096A">
      <w:pPr>
        <w:pStyle w:val="ListParagraph"/>
        <w:numPr>
          <w:ilvl w:val="1"/>
          <w:numId w:val="1"/>
        </w:numPr>
      </w:pPr>
      <w:r>
        <w:t xml:space="preserve">Gene content </w:t>
      </w:r>
      <w:proofErr w:type="gramStart"/>
      <w:r>
        <w:t>comparison :</w:t>
      </w:r>
      <w:proofErr w:type="gramEnd"/>
      <w:r>
        <w:t xml:space="preserve"> what is “missing”? What is unique?</w:t>
      </w:r>
    </w:p>
    <w:p w14:paraId="0E717087" w14:textId="47812FC4" w:rsidR="00C908C6" w:rsidRPr="00C908C6" w:rsidRDefault="005C5E71" w:rsidP="005C5E71">
      <w:pPr>
        <w:pStyle w:val="ListParagraph"/>
        <w:numPr>
          <w:ilvl w:val="0"/>
          <w:numId w:val="1"/>
        </w:numPr>
      </w:pPr>
      <w:proofErr w:type="spellStart"/>
      <w:r>
        <w:t>Colinearity</w:t>
      </w:r>
      <w:proofErr w:type="spellEnd"/>
      <w:r>
        <w:t xml:space="preserve"> (at all?) or just intergenic SNPs/indels via </w:t>
      </w:r>
      <w:proofErr w:type="spellStart"/>
      <w:r>
        <w:t>gatk</w:t>
      </w:r>
      <w:proofErr w:type="spellEnd"/>
      <w:r>
        <w:t>?</w:t>
      </w:r>
    </w:p>
    <w:p w14:paraId="58A01E28" w14:textId="67C1F79D" w:rsidR="005C5E71" w:rsidRDefault="005C5E71" w:rsidP="005C5E71">
      <w:pPr>
        <w:ind w:left="360"/>
      </w:pPr>
    </w:p>
    <w:p w14:paraId="174536C7" w14:textId="38AA301B" w:rsidR="005C5E71" w:rsidRDefault="005C5E71" w:rsidP="005C5E71">
      <w:pPr>
        <w:ind w:left="360"/>
      </w:pPr>
      <w:r>
        <w:rPr>
          <w:i/>
        </w:rPr>
        <w:t xml:space="preserve">Changes in the repetitive landscape between </w:t>
      </w:r>
      <w:r>
        <w:t xml:space="preserve">Kokia drynarioides </w:t>
      </w:r>
      <w:r>
        <w:rPr>
          <w:i/>
        </w:rPr>
        <w:t>and</w:t>
      </w:r>
      <w:r>
        <w:t xml:space="preserve"> Gossypioides kirkii</w:t>
      </w:r>
    </w:p>
    <w:p w14:paraId="74043FEA" w14:textId="1A068262" w:rsidR="00F22C28" w:rsidRDefault="00F22C28" w:rsidP="005C5E71">
      <w:pPr>
        <w:ind w:left="360"/>
      </w:pPr>
      <w:r>
        <w:t xml:space="preserve">Because </w:t>
      </w:r>
      <w:r>
        <w:rPr>
          <w:i/>
        </w:rPr>
        <w:t xml:space="preserve">K. </w:t>
      </w:r>
      <w:proofErr w:type="spellStart"/>
      <w:r>
        <w:rPr>
          <w:i/>
        </w:rPr>
        <w:t>dryanarioides</w:t>
      </w:r>
      <w:proofErr w:type="spellEnd"/>
      <w:r>
        <w:rPr>
          <w:i/>
        </w:rPr>
        <w:t xml:space="preserve"> </w:t>
      </w:r>
      <w:r>
        <w:t xml:space="preserve">and </w:t>
      </w:r>
      <w:r>
        <w:rPr>
          <w:i/>
        </w:rPr>
        <w:t>G. kirkii</w:t>
      </w:r>
      <w:r>
        <w:t xml:space="preserve"> have relatively compact genomes, multiple representatives of three cotton species previously used for repetitive analysis {</w:t>
      </w:r>
      <w:proofErr w:type="spellStart"/>
      <w:r>
        <w:t>Renny-Byfield</w:t>
      </w:r>
      <w:proofErr w:type="spellEnd"/>
      <w:r>
        <w:t xml:space="preserve">, 2016 #74}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74,001 clusters</w:t>
      </w:r>
      <w:r w:rsidR="00D450C0">
        <w:t xml:space="preserve"> (n &gt;2 reads)</w:t>
      </w:r>
      <w:r>
        <w:t>.</w:t>
      </w:r>
      <w:r w:rsidR="00D450C0">
        <w:t xml:space="preserve"> Because the smallest clusters are neither informative nor reliable</w:t>
      </w:r>
      <w:r>
        <w:t xml:space="preserve"> </w:t>
      </w:r>
      <w:r w:rsidR="00D450C0">
        <w:t xml:space="preserve">indicators of repetitiveness, we chose to annotate only those clusters composed of greater than 0.01% of the total reads input (=201 reads), resulting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 (cotton_cutoff.png).</w:t>
      </w:r>
      <w:r w:rsidR="009B27AB">
        <w:t xml:space="preserve">  </w:t>
      </w:r>
    </w:p>
    <w:p w14:paraId="47488471" w14:textId="7C76657B" w:rsidR="0090141E" w:rsidRPr="0060105F" w:rsidRDefault="00B31AD7" w:rsidP="005C5E71">
      <w:pPr>
        <w:ind w:left="360"/>
      </w:pPr>
      <w:r>
        <w:t xml:space="preserve">Despite identically sized genomes, </w:t>
      </w:r>
      <w:r>
        <w:rPr>
          <w:i/>
        </w:rPr>
        <w:t xml:space="preserve">K. drynarioides </w:t>
      </w:r>
      <w:r>
        <w:t xml:space="preserve">and </w:t>
      </w:r>
      <w:r>
        <w:rPr>
          <w:i/>
        </w:rPr>
        <w:t xml:space="preserve">G. </w:t>
      </w:r>
      <w:r w:rsidRPr="00B31AD7">
        <w:rPr>
          <w:i/>
        </w:rPr>
        <w:t>kirkii</w:t>
      </w:r>
      <w:r>
        <w:t xml:space="preserve"> show an approximately 1 </w:t>
      </w:r>
      <w:commentRangeStart w:id="5"/>
      <w:r>
        <w:t xml:space="preserve">Mb </w:t>
      </w:r>
      <w:commentRangeEnd w:id="5"/>
      <w:r w:rsidR="00FD66E0">
        <w:rPr>
          <w:rStyle w:val="CommentReference"/>
        </w:rPr>
        <w:commentReference w:id="5"/>
      </w:r>
      <w:r>
        <w:t>difference in clustered repeats, although this lacks statistical significance.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despite the</w:t>
      </w:r>
      <w:r>
        <w:t xml:space="preserve"> intergeneric </w:t>
      </w:r>
      <w:r w:rsidR="0060105F">
        <w:t>comparison</w:t>
      </w:r>
      <w:r>
        <w:t xml:space="preserve">. </w:t>
      </w:r>
      <w:r w:rsidR="0060105F">
        <w:t>Interspecies (</w:t>
      </w:r>
      <w:proofErr w:type="spellStart"/>
      <w:r w:rsidR="0060105F">
        <w:t>intragenus</w:t>
      </w:r>
      <w:proofErr w:type="spellEnd"/>
      <w:r w:rsidR="0060105F">
        <w:t xml:space="preserve">) repetitive profiles for those </w:t>
      </w:r>
      <w:r w:rsidR="0060105F">
        <w:rPr>
          <w:i/>
        </w:rPr>
        <w:t>Gossypium</w:t>
      </w:r>
      <w:r w:rsidR="0060105F">
        <w:t xml:space="preserve"> species present in the analysis showed a different pattern, whereby the basally divergent </w:t>
      </w:r>
      <w:r w:rsidR="0060105F">
        <w:rPr>
          <w:i/>
        </w:rPr>
        <w:t>G. raimondii</w:t>
      </w:r>
      <w:r w:rsidR="0060105F">
        <w:t xml:space="preserve"> compared to either A-genome species (i.e., </w:t>
      </w:r>
      <w:r w:rsidR="0060105F">
        <w:rPr>
          <w:i/>
        </w:rPr>
        <w:t>G. herbaceum</w:t>
      </w:r>
      <w:r w:rsidR="0060105F">
        <w:t xml:space="preserve"> and </w:t>
      </w:r>
      <w:r w:rsidR="0060105F">
        <w:rPr>
          <w:i/>
        </w:rPr>
        <w:t>G. arboreum</w:t>
      </w:r>
      <w:r w:rsidR="0060105F">
        <w:t>) shows a highly distinct repetitive profile</w:t>
      </w:r>
      <w:r w:rsidR="00B23847">
        <w:t xml:space="preserve"> (p &lt;0.05)</w:t>
      </w:r>
      <w:r w:rsidR="0060105F">
        <w:t>, although, notably, the sister A-genome species are not distinct (see discussion).</w:t>
      </w:r>
    </w:p>
    <w:p w14:paraId="6F7F38D6" w14:textId="050336C2" w:rsidR="00B31AD7" w:rsidRDefault="0060105F" w:rsidP="0060105F">
      <w:pPr>
        <w:ind w:left="360"/>
      </w:pPr>
      <w:r>
        <w:t xml:space="preserve">To ascertain the extent of the differences between </w:t>
      </w:r>
      <w:r>
        <w:rPr>
          <w:i/>
        </w:rPr>
        <w:t xml:space="preserve">K. drynarioides </w:t>
      </w:r>
      <w:r>
        <w:t xml:space="preserve">and </w:t>
      </w:r>
      <w:r>
        <w:rPr>
          <w:i/>
        </w:rPr>
        <w:t xml:space="preserve">G. </w:t>
      </w:r>
      <w:r w:rsidRPr="00B31AD7">
        <w:rPr>
          <w:i/>
        </w:rPr>
        <w:t>kirkii</w:t>
      </w:r>
      <w:r>
        <w:t xml:space="preserve">, we </w:t>
      </w:r>
      <w:r w:rsidR="00B23847">
        <w:t>considered the possibility that while the overall repetitive profiles may not be significantly different, individual clusters may be. Toward this end, we conducted a chi</w:t>
      </w:r>
      <w:r w:rsidR="00B23847" w:rsidRPr="00B23847">
        <w:rPr>
          <w:vertAlign w:val="superscript"/>
        </w:rPr>
        <w:t>2</w:t>
      </w:r>
      <w:r w:rsidR="00B23847">
        <w:t xml:space="preserve"> test of independence for each cluster and applied a </w:t>
      </w:r>
      <w:proofErr w:type="spellStart"/>
      <w:r w:rsidR="00B23847">
        <w:t>Benjamini</w:t>
      </w:r>
      <w:proofErr w:type="spellEnd"/>
      <w:r w:rsidR="00B23847">
        <w:t xml:space="preserve">-Hochberg correction for multiple testing. At p&lt;0.05, XXX clusters (out of XXX)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approximately the same number of times for both (XXX with greater abundance in </w:t>
      </w:r>
      <w:r w:rsidR="00B23847">
        <w:rPr>
          <w:i/>
        </w:rPr>
        <w:t xml:space="preserve">K. drynarioides </w:t>
      </w:r>
      <w:r w:rsidR="00B23847">
        <w:t xml:space="preserve">versus XXX in </w:t>
      </w:r>
      <w:r w:rsidR="00B23847">
        <w:rPr>
          <w:i/>
        </w:rPr>
        <w:t xml:space="preserve">G. </w:t>
      </w:r>
      <w:r w:rsidR="00B23847" w:rsidRPr="00B31AD7">
        <w:rPr>
          <w:i/>
        </w:rPr>
        <w:t>kirkii</w:t>
      </w:r>
      <w:r w:rsidR="00E34B06">
        <w:t>; Table Abundance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w:t>
      </w:r>
      <w:proofErr w:type="spellStart"/>
      <w:r w:rsidR="00A227DD">
        <w:t>Carvalho</w:t>
      </w:r>
      <w:proofErr w:type="spellEnd"/>
      <w:r w:rsidR="00A227DD">
        <w:t xml:space="preserve"> (2016). This analysis attempts to characterize the age of each </w:t>
      </w:r>
      <w:commentRangeStart w:id="6"/>
      <w:r w:rsidR="00A227DD">
        <w:t xml:space="preserve">cluster </w:t>
      </w:r>
      <w:commentRangeEnd w:id="6"/>
      <w:r w:rsidR="00A227DD">
        <w:rPr>
          <w:rStyle w:val="CommentReference"/>
        </w:rPr>
        <w:commentReference w:id="6"/>
      </w:r>
      <w:r w:rsidR="00A227DD">
        <w:t xml:space="preserve">based on the distinctiveness of the reads which comprise the cluster; that is, younger clusters will have reads that are highly similar, whereas older </w:t>
      </w:r>
      <w:r w:rsidR="00A227DD">
        <w:lastRenderedPageBreak/>
        <w:t>clusters will have reads that show a number of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 versus 72 “young”); however, </w:t>
      </w:r>
      <w:r w:rsidR="00961765">
        <w:t>o</w:t>
      </w:r>
      <w:r w:rsidR="00585D53">
        <w:t>f the XXX differentially abundant clusters, XXX were categorized as “young” and XXX as “older”</w:t>
      </w:r>
      <w:r w:rsidR="00E34B06">
        <w:t xml:space="preserve"> (Table Abundance)</w:t>
      </w:r>
      <w:r w:rsidR="00585D53">
        <w:t>, potentially reflecting SOMETHING ABOUT GAIN VERSUS LOSS.</w:t>
      </w:r>
    </w:p>
    <w:p w14:paraId="7B8C7990" w14:textId="66CD46A5" w:rsidR="00FD66E0" w:rsidRPr="0051282F" w:rsidRDefault="00E34B06" w:rsidP="0060105F">
      <w:pPr>
        <w:ind w:left="360"/>
      </w:pPr>
      <w:r>
        <w:t xml:space="preserve">Most of the clusters were broadly annotated as belonging to the </w:t>
      </w:r>
      <w:r w:rsidRPr="00E34B06">
        <w:rPr>
          <w:i/>
        </w:rPr>
        <w:t>Ty3/gypsy</w:t>
      </w:r>
      <w:r>
        <w:t xml:space="preserve"> superfamily, a result not surprising for a plant lineage (Figure Amounts). Overall, gypsy elements comprise XXX to XXX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w:t>
      </w:r>
      <w:proofErr w:type="spellStart"/>
      <w:r>
        <w:rPr>
          <w:i/>
        </w:rPr>
        <w:t>copia</w:t>
      </w:r>
      <w:proofErr w:type="spellEnd"/>
      <w:r>
        <w:t xml:space="preserve"> elements </w:t>
      </w:r>
      <w:r w:rsidR="0051282F">
        <w:t xml:space="preserve">comprising the next most abundant repeats and comprising similar amounts in each genome.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51282F">
        <w:rPr>
          <w:i/>
        </w:rPr>
        <w:t>except</w:t>
      </w:r>
      <w:r w:rsidR="0051282F">
        <w:t xml:space="preserve"> the predicted non-LTR </w:t>
      </w:r>
      <w:proofErr w:type="spellStart"/>
      <w:r w:rsidR="0051282F">
        <w:t>retroposons</w:t>
      </w:r>
      <w:proofErr w:type="spellEnd"/>
      <w:r w:rsidR="0051282F">
        <w:t xml:space="preserve">, in which these two species had comparable or slightly greater occupation as the cotton species, which possess 2-3x larger genomes.  </w:t>
      </w:r>
      <w:r w:rsidR="00961765">
        <w:t>This difference is due to the sole</w:t>
      </w:r>
      <w:r w:rsidR="0051282F">
        <w:t xml:space="preserve"> </w:t>
      </w:r>
      <w:proofErr w:type="spellStart"/>
      <w:r w:rsidR="0051282F">
        <w:t>retroposon</w:t>
      </w:r>
      <w:proofErr w:type="spellEnd"/>
      <w:r w:rsidR="0051282F">
        <w:t xml:space="preserve"> clusters </w:t>
      </w:r>
      <w:r w:rsidR="00961765">
        <w:t xml:space="preserve">recovered, which was in the top 5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 proliferation in both species. Furthermore, the cluster shows differential abundance between the two species, suggesting that either the proliferation began prior to species divergence and continued with varying success afterwards, or the two lineages experienced similar releases from repression for this element, although again to varying degrees. The other differentially abundant clusters were largely annotated as putative gypsy elements (RIGHT?) (XX %).</w:t>
      </w:r>
    </w:p>
    <w:p w14:paraId="6008B986" w14:textId="65149FA2" w:rsidR="009B49B6" w:rsidRDefault="009B49B6" w:rsidP="001E096A"/>
    <w:p w14:paraId="633CFAD7" w14:textId="2AB9B359" w:rsidR="002B7AAF" w:rsidRDefault="002B7AAF" w:rsidP="001E096A">
      <w:pPr>
        <w:rPr>
          <w:b/>
        </w:rPr>
      </w:pPr>
      <w:r w:rsidRPr="00EA4D66">
        <w:rPr>
          <w:b/>
        </w:rPr>
        <w:t>Discussion</w:t>
      </w:r>
    </w:p>
    <w:p w14:paraId="0F2EAB94" w14:textId="435D9FF9"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first-pass genome assemblies for the outgroup congeners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5883552" w14:textId="716FE0E9" w:rsidR="00551A4E" w:rsidRDefault="00551A4E" w:rsidP="00EA4D66">
      <w:pPr>
        <w:autoSpaceDE w:val="0"/>
        <w:autoSpaceDN w:val="0"/>
        <w:adjustRightInd w:val="0"/>
        <w:spacing w:after="0" w:line="240" w:lineRule="auto"/>
      </w:pPr>
    </w:p>
    <w:p w14:paraId="3828506A" w14:textId="77777777" w:rsidR="00F71F01" w:rsidRDefault="00F71F01" w:rsidP="00EA4D66">
      <w:pPr>
        <w:pStyle w:val="ListParagraph"/>
        <w:numPr>
          <w:ilvl w:val="0"/>
          <w:numId w:val="2"/>
        </w:numPr>
      </w:pPr>
      <w:r>
        <w:t>Compare molecular differences to perceived degree of morphological differentiation?</w:t>
      </w:r>
    </w:p>
    <w:p w14:paraId="6C143078" w14:textId="77777777" w:rsidR="002E5EBD" w:rsidRDefault="002E5EBD" w:rsidP="00EA4D66">
      <w:pPr>
        <w:autoSpaceDE w:val="0"/>
        <w:autoSpaceDN w:val="0"/>
        <w:adjustRightInd w:val="0"/>
        <w:spacing w:after="0" w:line="240" w:lineRule="auto"/>
        <w:rPr>
          <w:rFonts w:ascii="JansonTextMacron-Regular" w:hAnsi="JansonTextMacron-Regular" w:cs="JansonTextMacron-Regular"/>
          <w:sz w:val="20"/>
          <w:szCs w:val="20"/>
        </w:rPr>
      </w:pPr>
    </w:p>
    <w:p w14:paraId="19EE3256" w14:textId="7A5F682B" w:rsidR="00551A4E" w:rsidRDefault="00551A4E" w:rsidP="00EA4D66">
      <w:pPr>
        <w:autoSpaceDE w:val="0"/>
        <w:autoSpaceDN w:val="0"/>
        <w:adjustRightInd w:val="0"/>
        <w:spacing w:after="0" w:line="240" w:lineRule="auto"/>
        <w:rPr>
          <w:rFonts w:ascii="JansonTextMacron-Regular" w:hAnsi="JansonTextMacron-Regular" w:cs="JansonTextMacron-Regular"/>
          <w:sz w:val="20"/>
          <w:szCs w:val="20"/>
        </w:rPr>
      </w:pPr>
    </w:p>
    <w:p w14:paraId="392C2093" w14:textId="1BEEB19C" w:rsidR="00551A4E" w:rsidRPr="00EA4D66" w:rsidRDefault="00551A4E" w:rsidP="00EA4D66">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r w:rsidRPr="00EA4D66">
        <w:rPr>
          <w:rFonts w:ascii="JansonTextMacron-Regular" w:hAnsi="JansonTextMacron-Regular" w:cs="JansonTextMacron-Regular"/>
          <w:color w:val="2F5496" w:themeColor="accent5" w:themeShade="BF"/>
          <w:sz w:val="20"/>
          <w:szCs w:val="20"/>
        </w:rPr>
        <w:t xml:space="preserve">Phylogenetics in the tribe: </w:t>
      </w:r>
      <w:proofErr w:type="spellStart"/>
      <w:r w:rsidRPr="00EA4D66">
        <w:rPr>
          <w:rFonts w:ascii="JansonTextMacron-Regular" w:hAnsi="JansonTextMacron-Regular" w:cs="JansonTextMacron-Regular"/>
          <w:color w:val="2F5496" w:themeColor="accent5" w:themeShade="BF"/>
          <w:sz w:val="20"/>
          <w:szCs w:val="20"/>
        </w:rPr>
        <w:t>ndhF</w:t>
      </w:r>
      <w:proofErr w:type="spellEnd"/>
      <w:r w:rsidRPr="00EA4D66">
        <w:rPr>
          <w:rFonts w:ascii="JansonTextMacron-Regular" w:hAnsi="JansonTextMacron-Regular" w:cs="JansonTextMacron-Regular"/>
          <w:color w:val="2F5496" w:themeColor="accent5" w:themeShade="BF"/>
          <w:sz w:val="20"/>
          <w:szCs w:val="20"/>
        </w:rPr>
        <w:t xml:space="preserve"> shows longer NJ branch length for Kokia than kirkii (congruence and consensus)</w:t>
      </w:r>
    </w:p>
    <w:p w14:paraId="46257351" w14:textId="25C5B8CD" w:rsidR="00551A4E" w:rsidRPr="00EA4D66" w:rsidRDefault="00551A4E" w:rsidP="00EA4D66">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
    <w:p w14:paraId="7D035B64" w14:textId="71B0AEC6" w:rsidR="00367245" w:rsidRPr="00EA4D66" w:rsidRDefault="00367245" w:rsidP="00EA4D66">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r w:rsidRPr="00EA4D66">
        <w:rPr>
          <w:rFonts w:ascii="JansonTextMacron-Regular" w:hAnsi="JansonTextMacron-Regular" w:cs="JansonTextMacron-Regular"/>
          <w:color w:val="2F5496" w:themeColor="accent5" w:themeShade="BF"/>
          <w:sz w:val="20"/>
          <w:szCs w:val="20"/>
        </w:rPr>
        <w:t xml:space="preserve">Long-distance salt water dispersal common in </w:t>
      </w:r>
      <w:proofErr w:type="spellStart"/>
      <w:r w:rsidRPr="00EA4D66">
        <w:rPr>
          <w:rFonts w:ascii="JansonTextMacron-Regular" w:hAnsi="JansonTextMacron-Regular" w:cs="JansonTextMacron-Regular"/>
          <w:color w:val="2F5496" w:themeColor="accent5" w:themeShade="BF"/>
          <w:sz w:val="20"/>
          <w:szCs w:val="20"/>
        </w:rPr>
        <w:t>gossypieae</w:t>
      </w:r>
      <w:proofErr w:type="spellEnd"/>
    </w:p>
    <w:p w14:paraId="245BE9C0" w14:textId="75233C1F" w:rsidR="00551A4E" w:rsidRPr="00EA4D66" w:rsidRDefault="00551A4E" w:rsidP="00EA4D66">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
    <w:p w14:paraId="73C461DA" w14:textId="022FFFAA" w:rsidR="006962EB" w:rsidRPr="00EA4D66" w:rsidRDefault="006962EB" w:rsidP="00EA4D66">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
    <w:p w14:paraId="066FDFD3" w14:textId="4D243C0F" w:rsidR="006962EB" w:rsidRPr="00EA4D66" w:rsidRDefault="006962EB" w:rsidP="00EA4D66">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r w:rsidRPr="00EA4D66">
        <w:rPr>
          <w:rFonts w:ascii="JansonTextMacron-Regular" w:hAnsi="JansonTextMacron-Regular" w:cs="JansonTextMacron-Regular"/>
          <w:color w:val="2F5496" w:themeColor="accent5" w:themeShade="BF"/>
          <w:sz w:val="20"/>
          <w:szCs w:val="20"/>
        </w:rPr>
        <w:t>Advance Agronomy</w:t>
      </w:r>
    </w:p>
    <w:p w14:paraId="52FA0101" w14:textId="77777777" w:rsidR="006962EB" w:rsidRPr="00EA4D66" w:rsidRDefault="006962EB" w:rsidP="006962EB">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roofErr w:type="spellStart"/>
      <w:r w:rsidRPr="00EA4D66">
        <w:rPr>
          <w:rFonts w:ascii="JansonTextMacron-Regular" w:hAnsi="JansonTextMacron-Regular" w:cs="JansonTextMacron-Regular"/>
          <w:color w:val="2F5496" w:themeColor="accent5" w:themeShade="BF"/>
          <w:sz w:val="20"/>
          <w:szCs w:val="20"/>
        </w:rPr>
        <w:t>Lebronnecia</w:t>
      </w:r>
      <w:proofErr w:type="spellEnd"/>
      <w:r w:rsidRPr="00EA4D66">
        <w:rPr>
          <w:rFonts w:ascii="JansonTextMacron-Regular" w:hAnsi="JansonTextMacron-Regular" w:cs="JansonTextMacron-Regular"/>
          <w:color w:val="2F5496" w:themeColor="accent5" w:themeShade="BF"/>
          <w:sz w:val="20"/>
          <w:szCs w:val="20"/>
        </w:rPr>
        <w:t xml:space="preserve"> – </w:t>
      </w:r>
      <w:proofErr w:type="spellStart"/>
      <w:r w:rsidRPr="00EA4D66">
        <w:rPr>
          <w:rFonts w:ascii="JansonTextMacron-Regular" w:hAnsi="JansonTextMacron-Regular" w:cs="JansonTextMacron-Regular"/>
          <w:color w:val="2F5496" w:themeColor="accent5" w:themeShade="BF"/>
          <w:sz w:val="20"/>
          <w:szCs w:val="20"/>
        </w:rPr>
        <w:t>marquesas</w:t>
      </w:r>
      <w:proofErr w:type="spellEnd"/>
      <w:r w:rsidRPr="00EA4D66">
        <w:rPr>
          <w:rFonts w:ascii="JansonTextMacron-Regular" w:hAnsi="JansonTextMacron-Regular" w:cs="JansonTextMacron-Regular"/>
          <w:color w:val="2F5496" w:themeColor="accent5" w:themeShade="BF"/>
          <w:sz w:val="20"/>
          <w:szCs w:val="20"/>
        </w:rPr>
        <w:t xml:space="preserve"> (south pacific)</w:t>
      </w:r>
    </w:p>
    <w:p w14:paraId="5C055CE7" w14:textId="77777777" w:rsidR="006962EB" w:rsidRPr="00EA4D66" w:rsidRDefault="006962EB" w:rsidP="006962EB">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roofErr w:type="spellStart"/>
      <w:r w:rsidRPr="00EA4D66">
        <w:rPr>
          <w:rFonts w:ascii="JansonTextMacron-Regular" w:hAnsi="JansonTextMacron-Regular" w:cs="JansonTextMacron-Regular"/>
          <w:color w:val="2F5496" w:themeColor="accent5" w:themeShade="BF"/>
          <w:sz w:val="20"/>
          <w:szCs w:val="20"/>
        </w:rPr>
        <w:lastRenderedPageBreak/>
        <w:t>Thespecia</w:t>
      </w:r>
      <w:proofErr w:type="spellEnd"/>
      <w:r w:rsidRPr="00EA4D66">
        <w:rPr>
          <w:rFonts w:ascii="JansonTextMacron-Regular" w:hAnsi="JansonTextMacron-Regular" w:cs="JansonTextMacron-Regular"/>
          <w:color w:val="2F5496" w:themeColor="accent5" w:themeShade="BF"/>
          <w:sz w:val="20"/>
          <w:szCs w:val="20"/>
        </w:rPr>
        <w:t xml:space="preserve"> </w:t>
      </w:r>
      <w:proofErr w:type="spellStart"/>
      <w:r w:rsidRPr="00EA4D66">
        <w:rPr>
          <w:rFonts w:ascii="JansonTextMacron-Regular" w:hAnsi="JansonTextMacron-Regular" w:cs="JansonTextMacron-Regular"/>
          <w:color w:val="2F5496" w:themeColor="accent5" w:themeShade="BF"/>
          <w:sz w:val="20"/>
          <w:szCs w:val="20"/>
        </w:rPr>
        <w:t>thespesioides</w:t>
      </w:r>
      <w:proofErr w:type="spellEnd"/>
      <w:r w:rsidRPr="00EA4D66">
        <w:rPr>
          <w:rFonts w:ascii="JansonTextMacron-Regular" w:hAnsi="JansonTextMacron-Regular" w:cs="JansonTextMacron-Regular"/>
          <w:color w:val="2F5496" w:themeColor="accent5" w:themeShade="BF"/>
          <w:sz w:val="20"/>
          <w:szCs w:val="20"/>
        </w:rPr>
        <w:t xml:space="preserve"> – pan tropical</w:t>
      </w:r>
    </w:p>
    <w:p w14:paraId="54C9E614" w14:textId="77777777" w:rsidR="006962EB" w:rsidRPr="00EA4D66" w:rsidRDefault="006962EB" w:rsidP="006962EB">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roofErr w:type="spellStart"/>
      <w:r w:rsidRPr="00EA4D66">
        <w:rPr>
          <w:rFonts w:ascii="JansonTextMacron-Regular" w:hAnsi="JansonTextMacron-Regular" w:cs="JansonTextMacron-Regular"/>
          <w:color w:val="2F5496" w:themeColor="accent5" w:themeShade="BF"/>
          <w:sz w:val="20"/>
          <w:szCs w:val="20"/>
        </w:rPr>
        <w:t>Hampia</w:t>
      </w:r>
      <w:proofErr w:type="spellEnd"/>
      <w:r w:rsidRPr="00EA4D66">
        <w:rPr>
          <w:rFonts w:ascii="JansonTextMacron-Regular" w:hAnsi="JansonTextMacron-Regular" w:cs="JansonTextMacron-Regular"/>
          <w:color w:val="2F5496" w:themeColor="accent5" w:themeShade="BF"/>
          <w:sz w:val="20"/>
          <w:szCs w:val="20"/>
        </w:rPr>
        <w:t xml:space="preserve"> – </w:t>
      </w:r>
      <w:proofErr w:type="spellStart"/>
      <w:r w:rsidRPr="00EA4D66">
        <w:rPr>
          <w:rFonts w:ascii="JansonTextMacron-Regular" w:hAnsi="JansonTextMacron-Regular" w:cs="JansonTextMacron-Regular"/>
          <w:color w:val="2F5496" w:themeColor="accent5" w:themeShade="BF"/>
          <w:sz w:val="20"/>
          <w:szCs w:val="20"/>
        </w:rPr>
        <w:t>neotropical</w:t>
      </w:r>
      <w:proofErr w:type="spellEnd"/>
      <w:r w:rsidRPr="00EA4D66">
        <w:rPr>
          <w:rFonts w:ascii="JansonTextMacron-Regular" w:hAnsi="JansonTextMacron-Regular" w:cs="JansonTextMacron-Regular"/>
          <w:color w:val="2F5496" w:themeColor="accent5" w:themeShade="BF"/>
          <w:sz w:val="20"/>
          <w:szCs w:val="20"/>
        </w:rPr>
        <w:t xml:space="preserve"> (</w:t>
      </w:r>
      <w:proofErr w:type="spellStart"/>
      <w:r w:rsidRPr="00EA4D66">
        <w:rPr>
          <w:rFonts w:ascii="JansonTextMacron-Regular" w:hAnsi="JansonTextMacron-Regular" w:cs="JansonTextMacron-Regular"/>
          <w:color w:val="2F5496" w:themeColor="accent5" w:themeShade="BF"/>
          <w:sz w:val="20"/>
          <w:szCs w:val="20"/>
        </w:rPr>
        <w:t>americas</w:t>
      </w:r>
      <w:proofErr w:type="spellEnd"/>
      <w:r w:rsidRPr="00EA4D66">
        <w:rPr>
          <w:rFonts w:ascii="JansonTextMacron-Regular" w:hAnsi="JansonTextMacron-Regular" w:cs="JansonTextMacron-Regular"/>
          <w:color w:val="2F5496" w:themeColor="accent5" w:themeShade="BF"/>
          <w:sz w:val="20"/>
          <w:szCs w:val="20"/>
        </w:rPr>
        <w:t>)</w:t>
      </w:r>
    </w:p>
    <w:p w14:paraId="608C7723" w14:textId="77777777" w:rsidR="006962EB" w:rsidRPr="00EA4D66" w:rsidRDefault="006962EB" w:rsidP="006962EB">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roofErr w:type="spellStart"/>
      <w:r w:rsidRPr="00EA4D66">
        <w:rPr>
          <w:rFonts w:ascii="JansonTextMacron-Regular" w:hAnsi="JansonTextMacron-Regular" w:cs="JansonTextMacron-Regular"/>
          <w:color w:val="2F5496" w:themeColor="accent5" w:themeShade="BF"/>
          <w:sz w:val="20"/>
          <w:szCs w:val="20"/>
        </w:rPr>
        <w:t>Thespesia</w:t>
      </w:r>
      <w:proofErr w:type="spellEnd"/>
      <w:r w:rsidRPr="00EA4D66">
        <w:rPr>
          <w:rFonts w:ascii="JansonTextMacron-Regular" w:hAnsi="JansonTextMacron-Regular" w:cs="JansonTextMacron-Regular"/>
          <w:color w:val="2F5496" w:themeColor="accent5" w:themeShade="BF"/>
          <w:sz w:val="20"/>
          <w:szCs w:val="20"/>
        </w:rPr>
        <w:t xml:space="preserve"> </w:t>
      </w:r>
      <w:proofErr w:type="spellStart"/>
      <w:r w:rsidRPr="00EA4D66">
        <w:rPr>
          <w:rFonts w:ascii="JansonTextMacron-Regular" w:hAnsi="JansonTextMacron-Regular" w:cs="JansonTextMacron-Regular"/>
          <w:color w:val="2F5496" w:themeColor="accent5" w:themeShade="BF"/>
          <w:sz w:val="20"/>
          <w:szCs w:val="20"/>
        </w:rPr>
        <w:t>populnea</w:t>
      </w:r>
      <w:proofErr w:type="spellEnd"/>
      <w:r w:rsidRPr="00EA4D66">
        <w:rPr>
          <w:rFonts w:ascii="JansonTextMacron-Regular" w:hAnsi="JansonTextMacron-Regular" w:cs="JansonTextMacron-Regular"/>
          <w:color w:val="2F5496" w:themeColor="accent5" w:themeShade="BF"/>
          <w:sz w:val="20"/>
          <w:szCs w:val="20"/>
        </w:rPr>
        <w:t xml:space="preserve"> – pan tropical</w:t>
      </w:r>
    </w:p>
    <w:p w14:paraId="07C36CCF" w14:textId="77777777" w:rsidR="006962EB" w:rsidRPr="00EA4D66" w:rsidRDefault="006962EB" w:rsidP="006962EB">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
    <w:p w14:paraId="6F31F4AC" w14:textId="77777777" w:rsidR="006962EB" w:rsidRPr="00EA4D66" w:rsidRDefault="006962EB" w:rsidP="006962EB">
      <w:pPr>
        <w:autoSpaceDE w:val="0"/>
        <w:autoSpaceDN w:val="0"/>
        <w:adjustRightInd w:val="0"/>
        <w:spacing w:after="0" w:line="240" w:lineRule="auto"/>
        <w:rPr>
          <w:rFonts w:ascii="JansonTextMacron-Regular" w:hAnsi="JansonTextMacron-Regular" w:cs="JansonTextMacron-Regular"/>
          <w:color w:val="2F5496" w:themeColor="accent5" w:themeShade="BF"/>
          <w:sz w:val="20"/>
          <w:szCs w:val="20"/>
        </w:rPr>
      </w:pPr>
      <w:proofErr w:type="spellStart"/>
      <w:r w:rsidRPr="00EA4D66">
        <w:rPr>
          <w:rFonts w:ascii="JansonTextMacron-Regular" w:hAnsi="JansonTextMacron-Regular" w:cs="JansonTextMacron-Regular"/>
          <w:color w:val="2F5496" w:themeColor="accent5" w:themeShade="BF"/>
          <w:sz w:val="20"/>
          <w:szCs w:val="20"/>
        </w:rPr>
        <w:t>Cephalohibiscus</w:t>
      </w:r>
      <w:proofErr w:type="spellEnd"/>
      <w:r w:rsidRPr="00EA4D66">
        <w:rPr>
          <w:rFonts w:ascii="JansonTextMacron-Regular" w:hAnsi="JansonTextMacron-Regular" w:cs="JansonTextMacron-Regular"/>
          <w:color w:val="2F5496" w:themeColor="accent5" w:themeShade="BF"/>
          <w:sz w:val="20"/>
          <w:szCs w:val="20"/>
        </w:rPr>
        <w:t xml:space="preserve"> – new guinea and </w:t>
      </w:r>
      <w:proofErr w:type="spellStart"/>
      <w:r w:rsidRPr="00EA4D66">
        <w:rPr>
          <w:rFonts w:ascii="JansonTextMacron-Regular" w:hAnsi="JansonTextMacron-Regular" w:cs="JansonTextMacron-Regular"/>
          <w:color w:val="2F5496" w:themeColor="accent5" w:themeShade="BF"/>
          <w:sz w:val="20"/>
          <w:szCs w:val="20"/>
        </w:rPr>
        <w:t>solomon</w:t>
      </w:r>
      <w:proofErr w:type="spellEnd"/>
      <w:r w:rsidRPr="00EA4D66">
        <w:rPr>
          <w:rFonts w:ascii="JansonTextMacron-Regular" w:hAnsi="JansonTextMacron-Regular" w:cs="JansonTextMacron-Regular"/>
          <w:color w:val="2F5496" w:themeColor="accent5" w:themeShade="BF"/>
          <w:sz w:val="20"/>
          <w:szCs w:val="20"/>
        </w:rPr>
        <w:t xml:space="preserve"> islands (Australia)</w:t>
      </w:r>
    </w:p>
    <w:p w14:paraId="553C0382" w14:textId="77777777" w:rsidR="00551A4E" w:rsidRPr="00EA4D66" w:rsidRDefault="00551A4E" w:rsidP="00EA4D66">
      <w:pPr>
        <w:autoSpaceDE w:val="0"/>
        <w:autoSpaceDN w:val="0"/>
        <w:adjustRightInd w:val="0"/>
        <w:spacing w:after="0" w:line="240" w:lineRule="auto"/>
        <w:rPr>
          <w:color w:val="2F5496" w:themeColor="accent5" w:themeShade="BF"/>
        </w:rPr>
      </w:pPr>
    </w:p>
    <w:p w14:paraId="0B6A5E3A" w14:textId="7C3A1D22" w:rsidR="002B7AAF" w:rsidRPr="00EA4D66" w:rsidRDefault="006962EB" w:rsidP="001E096A">
      <w:pPr>
        <w:rPr>
          <w:color w:val="2F5496" w:themeColor="accent5" w:themeShade="BF"/>
        </w:rPr>
      </w:pPr>
      <w:r w:rsidRPr="00EA4D66">
        <w:rPr>
          <w:color w:val="2F5496" w:themeColor="accent5" w:themeShade="BF"/>
        </w:rPr>
        <w:t xml:space="preserve">Maybe we would expect there to be stepping speciation among these island regions, e.g., south pacific </w:t>
      </w:r>
      <w:proofErr w:type="spellStart"/>
      <w:r w:rsidRPr="00EA4D66">
        <w:rPr>
          <w:color w:val="2F5496" w:themeColor="accent5" w:themeShade="BF"/>
        </w:rPr>
        <w:t>lebronnecia</w:t>
      </w:r>
      <w:proofErr w:type="spellEnd"/>
      <w:r w:rsidRPr="00EA4D66">
        <w:rPr>
          <w:color w:val="2F5496" w:themeColor="accent5" w:themeShade="BF"/>
        </w:rPr>
        <w:t xml:space="preserve"> to be between Kokia and kirkii, or </w:t>
      </w:r>
      <w:proofErr w:type="spellStart"/>
      <w:r w:rsidRPr="00EA4D66">
        <w:rPr>
          <w:color w:val="2F5496" w:themeColor="accent5" w:themeShade="BF"/>
        </w:rPr>
        <w:t>neotropical</w:t>
      </w:r>
      <w:proofErr w:type="spellEnd"/>
      <w:r w:rsidRPr="00EA4D66">
        <w:rPr>
          <w:color w:val="2F5496" w:themeColor="accent5" w:themeShade="BF"/>
        </w:rPr>
        <w:t xml:space="preserve"> </w:t>
      </w:r>
      <w:proofErr w:type="spellStart"/>
      <w:r w:rsidRPr="00EA4D66">
        <w:rPr>
          <w:color w:val="2F5496" w:themeColor="accent5" w:themeShade="BF"/>
        </w:rPr>
        <w:t>Hampea</w:t>
      </w:r>
      <w:proofErr w:type="spellEnd"/>
      <w:r w:rsidRPr="00EA4D66">
        <w:rPr>
          <w:color w:val="2F5496" w:themeColor="accent5" w:themeShade="BF"/>
        </w:rPr>
        <w:t xml:space="preserve"> to be between the two.  Clearly congeners, molecularly and united by n=12. </w:t>
      </w:r>
      <w:proofErr w:type="gramStart"/>
      <w:r w:rsidRPr="00EA4D66">
        <w:rPr>
          <w:color w:val="2F5496" w:themeColor="accent5" w:themeShade="BF"/>
        </w:rPr>
        <w:t>Hawaiian islands</w:t>
      </w:r>
      <w:proofErr w:type="gramEnd"/>
      <w:r w:rsidRPr="00EA4D66">
        <w:rPr>
          <w:color w:val="2F5496" w:themeColor="accent5" w:themeShade="BF"/>
        </w:rPr>
        <w:t xml:space="preserve"> only ~3myo, so Kokia probably colonized them as they were formed.  What about kirkii?  Is it an older population, from which Kokia is derived (probably not given the data), or was it </w:t>
      </w:r>
      <w:r w:rsidR="003141BF" w:rsidRPr="00EA4D66">
        <w:rPr>
          <w:color w:val="2F5496" w:themeColor="accent5" w:themeShade="BF"/>
        </w:rPr>
        <w:t>a dispersal event from who knows where of a now extinct ancestor?</w:t>
      </w:r>
    </w:p>
    <w:p w14:paraId="5A1FAFB2" w14:textId="0CA429C4" w:rsidR="006962EB" w:rsidRDefault="006962EB" w:rsidP="001E096A"/>
    <w:p w14:paraId="10E2FF79" w14:textId="6F6F926E" w:rsidR="006962EB" w:rsidRDefault="006962EB" w:rsidP="001E096A"/>
    <w:p w14:paraId="26517F1F" w14:textId="77777777" w:rsidR="006962EB" w:rsidRDefault="006962EB" w:rsidP="001E096A"/>
    <w:p w14:paraId="716A74AE" w14:textId="088A783C" w:rsidR="00530862" w:rsidRPr="00EA4D66" w:rsidRDefault="00530862" w:rsidP="001E096A">
      <w:pPr>
        <w:rPr>
          <w:i/>
          <w:u w:val="single"/>
        </w:rPr>
      </w:pPr>
      <w:r w:rsidRPr="00EA4D66">
        <w:rPr>
          <w:i/>
          <w:u w:val="single"/>
        </w:rPr>
        <w:t>Justin’s Bib (Please don’t edit until final)</w:t>
      </w:r>
    </w:p>
    <w:p w14:paraId="27211E02" w14:textId="594CA2E0" w:rsidR="00530862" w:rsidRPr="00530862" w:rsidRDefault="00530862" w:rsidP="00530862">
      <w:pPr>
        <w:widowControl w:val="0"/>
        <w:autoSpaceDE w:val="0"/>
        <w:autoSpaceDN w:val="0"/>
        <w:adjustRightInd w:val="0"/>
        <w:spacing w:line="240" w:lineRule="auto"/>
        <w:ind w:left="640" w:hanging="640"/>
        <w:rPr>
          <w:rFonts w:ascii="Calibri" w:hAnsi="Calibri"/>
          <w:noProof/>
          <w:szCs w:val="24"/>
        </w:rPr>
      </w:pPr>
      <w:r>
        <w:fldChar w:fldCharType="begin" w:fldLock="1"/>
      </w:r>
      <w:r>
        <w:instrText xml:space="preserve">ADDIN Mendeley Bibliography CSL_BIBLIOGRAPHY </w:instrText>
      </w:r>
      <w:r>
        <w:fldChar w:fldCharType="separate"/>
      </w:r>
      <w:r w:rsidRPr="00530862">
        <w:rPr>
          <w:rFonts w:ascii="Calibri" w:hAnsi="Calibri"/>
          <w:noProof/>
          <w:szCs w:val="24"/>
        </w:rPr>
        <w:t xml:space="preserve">1. </w:t>
      </w:r>
      <w:r w:rsidRPr="00530862">
        <w:rPr>
          <w:rFonts w:ascii="Calibri" w:hAnsi="Calibri"/>
          <w:noProof/>
          <w:szCs w:val="24"/>
        </w:rPr>
        <w:tab/>
        <w:t xml:space="preserve">Emms DM, Kelly S. OrthoFinder: solving fundamental biases in whole genome comparisons dramatically improves orthogroup inference accuracy. </w:t>
      </w:r>
      <w:r w:rsidRPr="00530862">
        <w:rPr>
          <w:rFonts w:ascii="Calibri" w:hAnsi="Calibri"/>
          <w:i/>
          <w:iCs/>
          <w:noProof/>
          <w:szCs w:val="24"/>
        </w:rPr>
        <w:t>Genome Biol</w:t>
      </w:r>
      <w:r w:rsidRPr="00530862">
        <w:rPr>
          <w:rFonts w:ascii="Calibri" w:hAnsi="Calibri"/>
          <w:noProof/>
          <w:szCs w:val="24"/>
        </w:rPr>
        <w:t>. 2015;16(1):157. doi:10.1186/s13059-015-0721-2.</w:t>
      </w:r>
    </w:p>
    <w:p w14:paraId="3C88ED9F" w14:textId="77777777" w:rsidR="00530862" w:rsidRPr="00530862" w:rsidRDefault="00530862" w:rsidP="00530862">
      <w:pPr>
        <w:widowControl w:val="0"/>
        <w:autoSpaceDE w:val="0"/>
        <w:autoSpaceDN w:val="0"/>
        <w:adjustRightInd w:val="0"/>
        <w:spacing w:line="240" w:lineRule="auto"/>
        <w:ind w:left="640" w:hanging="640"/>
        <w:rPr>
          <w:rFonts w:ascii="Calibri" w:hAnsi="Calibri"/>
          <w:noProof/>
        </w:rPr>
      </w:pPr>
      <w:r w:rsidRPr="00530862">
        <w:rPr>
          <w:rFonts w:ascii="Calibri" w:hAnsi="Calibri"/>
          <w:noProof/>
          <w:szCs w:val="24"/>
        </w:rPr>
        <w:t xml:space="preserve">2. </w:t>
      </w:r>
      <w:r w:rsidRPr="00530862">
        <w:rPr>
          <w:rFonts w:ascii="Calibri" w:hAnsi="Calibri"/>
          <w:noProof/>
          <w:szCs w:val="24"/>
        </w:rPr>
        <w:tab/>
        <w:t xml:space="preserve">Li L, Stoeckert CJJ, Roos DS. OrthoMCL: Identification of Ortholog Groups for Eukaryotic Genomes -- Li et al. 13 (9): 2178 -- Genome Research. </w:t>
      </w:r>
      <w:r w:rsidRPr="00530862">
        <w:rPr>
          <w:rFonts w:ascii="Calibri" w:hAnsi="Calibri"/>
          <w:i/>
          <w:iCs/>
          <w:noProof/>
          <w:szCs w:val="24"/>
        </w:rPr>
        <w:t>Genome Res</w:t>
      </w:r>
      <w:r w:rsidRPr="00530862">
        <w:rPr>
          <w:rFonts w:ascii="Calibri" w:hAnsi="Calibri"/>
          <w:noProof/>
          <w:szCs w:val="24"/>
        </w:rPr>
        <w:t>. 2003;13(9):2178-2189. doi:10.1101/gr.1224503.candidates.</w:t>
      </w:r>
    </w:p>
    <w:p w14:paraId="6A6D871F" w14:textId="1EF3849F" w:rsidR="00530862" w:rsidRDefault="00530862" w:rsidP="001E096A">
      <w:r>
        <w:fldChar w:fldCharType="end"/>
      </w:r>
    </w:p>
    <w:p w14:paraId="06E5A860" w14:textId="53B83CC0" w:rsidR="00530862" w:rsidRDefault="00530862" w:rsidP="001E096A"/>
    <w:sectPr w:rsidR="00530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stin" w:date="2017-04-06T15:16:00Z" w:initials="J">
    <w:p w14:paraId="71C0AB55" w14:textId="6650C227" w:rsidR="00530862" w:rsidRDefault="00530862">
      <w:pPr>
        <w:pStyle w:val="CommentText"/>
      </w:pPr>
      <w:r>
        <w:rPr>
          <w:rStyle w:val="CommentReference"/>
        </w:rPr>
        <w:annotationRef/>
      </w:r>
      <w:r>
        <w:t>May need to adjust after doing said analysis</w:t>
      </w:r>
    </w:p>
  </w:comment>
  <w:comment w:id="1" w:author="Grover, Corrinne E [EEOBS]" w:date="2017-04-07T12:49:00Z" w:initials="GCE[">
    <w:p w14:paraId="270BB345" w14:textId="3729232D" w:rsidR="000E432D" w:rsidRDefault="000E432D">
      <w:pPr>
        <w:pStyle w:val="CommentText"/>
      </w:pPr>
      <w:r>
        <w:rPr>
          <w:rStyle w:val="CommentReference"/>
        </w:rPr>
        <w:annotationRef/>
      </w:r>
      <w:r>
        <w:t>What was our justification for this again?</w:t>
      </w:r>
    </w:p>
  </w:comment>
  <w:comment w:id="3" w:author="Justin" w:date="2017-04-06T16:33:00Z" w:initials="J">
    <w:p w14:paraId="65700B9D" w14:textId="67C840F4" w:rsidR="00530862" w:rsidRDefault="00530862">
      <w:pPr>
        <w:pStyle w:val="CommentText"/>
      </w:pPr>
      <w:r>
        <w:rPr>
          <w:rStyle w:val="CommentReference"/>
        </w:rPr>
        <w:annotationRef/>
      </w:r>
      <w:r>
        <w:t>Very rough estimate of gene loss and duplication; do we want more sophisticated method? Other parts to this section?</w:t>
      </w:r>
    </w:p>
  </w:comment>
  <w:comment w:id="4" w:author="Grover, Corrinne E [EEOBS]" w:date="2017-04-07T12:53:00Z" w:initials="GCE[">
    <w:p w14:paraId="7A53425D" w14:textId="0ADF74A6" w:rsidR="000E432D" w:rsidRDefault="000E432D">
      <w:pPr>
        <w:pStyle w:val="CommentText"/>
      </w:pPr>
      <w:r>
        <w:rPr>
          <w:rStyle w:val="CommentReference"/>
        </w:rPr>
        <w:annotationRef/>
      </w:r>
      <w:r>
        <w:t>We probably should cross-check these to make sure things didn’t get screwed up, e.g., a gene “loss” is actually where something got thrown in as a “duplication” or as a loner (true singleton with no match in other genomes)</w:t>
      </w:r>
    </w:p>
  </w:comment>
  <w:comment w:id="5" w:author="Grover, Corrinne E [EEOBS] [2]" w:date="2017-04-26T15:56:00Z" w:initials="GCE[">
    <w:p w14:paraId="006AE3F4" w14:textId="1FB7B859" w:rsidR="00FD66E0" w:rsidRDefault="00FD66E0">
      <w:pPr>
        <w:pStyle w:val="CommentText"/>
      </w:pPr>
      <w:r>
        <w:rPr>
          <w:rStyle w:val="CommentReference"/>
        </w:rPr>
        <w:annotationRef/>
      </w:r>
      <w:r w:rsidR="00EA4D66">
        <w:rPr>
          <w:noProof/>
        </w:rPr>
        <w:t>put the linear regression stuff in here?</w:t>
      </w:r>
    </w:p>
  </w:comment>
  <w:comment w:id="6" w:author="Grover, Corrinne E [EEOBS] [2]" w:date="2017-04-26T15:33:00Z" w:initials="GCE[">
    <w:p w14:paraId="3D2E53AE" w14:textId="354D15ED" w:rsidR="00A227DD" w:rsidRDefault="00A227DD">
      <w:pPr>
        <w:pStyle w:val="CommentText"/>
      </w:pPr>
      <w:r>
        <w:rPr>
          <w:rStyle w:val="CommentReference"/>
        </w:rPr>
        <w:annotationRef/>
      </w:r>
      <w:r w:rsidR="00EA4D66">
        <w:rPr>
          <w:noProof/>
        </w:rPr>
        <w:t>should we redo this just for the Kok/Kirk reads?  would the A-genome reads, minimally, be biasing some of these toward "youth"?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0AB55" w15:done="0"/>
  <w15:commentEx w15:paraId="270BB345" w15:done="0"/>
  <w15:commentEx w15:paraId="65700B9D" w15:done="0"/>
  <w15:commentEx w15:paraId="7A53425D" w15:paraIdParent="65700B9D" w15:done="0"/>
  <w15:commentEx w15:paraId="006AE3F4" w15:done="0"/>
  <w15:commentEx w15:paraId="3D2E53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JansonTextMacron-Regular">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A9"/>
    <w:rsid w:val="00024FD7"/>
    <w:rsid w:val="0004228B"/>
    <w:rsid w:val="00053CF6"/>
    <w:rsid w:val="0005507F"/>
    <w:rsid w:val="00091D34"/>
    <w:rsid w:val="000E313A"/>
    <w:rsid w:val="000E432D"/>
    <w:rsid w:val="000E5256"/>
    <w:rsid w:val="00101150"/>
    <w:rsid w:val="00117A32"/>
    <w:rsid w:val="00124CF5"/>
    <w:rsid w:val="00143B35"/>
    <w:rsid w:val="00195CBD"/>
    <w:rsid w:val="001A3EAE"/>
    <w:rsid w:val="001B1FD8"/>
    <w:rsid w:val="001C0C32"/>
    <w:rsid w:val="001E096A"/>
    <w:rsid w:val="001E39ED"/>
    <w:rsid w:val="001F1375"/>
    <w:rsid w:val="00207BC8"/>
    <w:rsid w:val="002237F8"/>
    <w:rsid w:val="0023383F"/>
    <w:rsid w:val="002474F9"/>
    <w:rsid w:val="002604F1"/>
    <w:rsid w:val="002613A6"/>
    <w:rsid w:val="002625FF"/>
    <w:rsid w:val="00273CB1"/>
    <w:rsid w:val="00282801"/>
    <w:rsid w:val="002B679B"/>
    <w:rsid w:val="002B7AAF"/>
    <w:rsid w:val="002C4137"/>
    <w:rsid w:val="002D6E2F"/>
    <w:rsid w:val="002E5EBD"/>
    <w:rsid w:val="002F3BE3"/>
    <w:rsid w:val="003067CA"/>
    <w:rsid w:val="003141BF"/>
    <w:rsid w:val="00315614"/>
    <w:rsid w:val="003548BB"/>
    <w:rsid w:val="00367245"/>
    <w:rsid w:val="003751D0"/>
    <w:rsid w:val="0039433E"/>
    <w:rsid w:val="003C1A86"/>
    <w:rsid w:val="003C3674"/>
    <w:rsid w:val="003D3D4C"/>
    <w:rsid w:val="003E25AC"/>
    <w:rsid w:val="003F7146"/>
    <w:rsid w:val="00420338"/>
    <w:rsid w:val="00426D24"/>
    <w:rsid w:val="0044237A"/>
    <w:rsid w:val="004460E0"/>
    <w:rsid w:val="00457C7C"/>
    <w:rsid w:val="004746FD"/>
    <w:rsid w:val="00485F39"/>
    <w:rsid w:val="00491B99"/>
    <w:rsid w:val="004B4BE9"/>
    <w:rsid w:val="004B7CF5"/>
    <w:rsid w:val="004C1A29"/>
    <w:rsid w:val="004E5F56"/>
    <w:rsid w:val="0051282F"/>
    <w:rsid w:val="00522084"/>
    <w:rsid w:val="00523E25"/>
    <w:rsid w:val="00527AA9"/>
    <w:rsid w:val="00530862"/>
    <w:rsid w:val="00540EA0"/>
    <w:rsid w:val="00551A4E"/>
    <w:rsid w:val="00552CCE"/>
    <w:rsid w:val="005572AC"/>
    <w:rsid w:val="00580E02"/>
    <w:rsid w:val="00585D53"/>
    <w:rsid w:val="00591B90"/>
    <w:rsid w:val="005A0ADB"/>
    <w:rsid w:val="005C5E71"/>
    <w:rsid w:val="006004F3"/>
    <w:rsid w:val="0060105F"/>
    <w:rsid w:val="006259A8"/>
    <w:rsid w:val="0065416E"/>
    <w:rsid w:val="006654CA"/>
    <w:rsid w:val="006962EB"/>
    <w:rsid w:val="006B275F"/>
    <w:rsid w:val="006E0CE9"/>
    <w:rsid w:val="007314BA"/>
    <w:rsid w:val="00757F56"/>
    <w:rsid w:val="00780297"/>
    <w:rsid w:val="0078439C"/>
    <w:rsid w:val="007C72C1"/>
    <w:rsid w:val="007F3F6C"/>
    <w:rsid w:val="0084460B"/>
    <w:rsid w:val="008772EF"/>
    <w:rsid w:val="0088197C"/>
    <w:rsid w:val="008E2ACA"/>
    <w:rsid w:val="008F007C"/>
    <w:rsid w:val="008F4ABC"/>
    <w:rsid w:val="0090141E"/>
    <w:rsid w:val="00930C4E"/>
    <w:rsid w:val="00931973"/>
    <w:rsid w:val="00951240"/>
    <w:rsid w:val="00953E24"/>
    <w:rsid w:val="00961765"/>
    <w:rsid w:val="00983911"/>
    <w:rsid w:val="009A2CE7"/>
    <w:rsid w:val="009B27AB"/>
    <w:rsid w:val="009B49B6"/>
    <w:rsid w:val="009C7C8B"/>
    <w:rsid w:val="009E65C9"/>
    <w:rsid w:val="00A227DD"/>
    <w:rsid w:val="00A22A3C"/>
    <w:rsid w:val="00A245C9"/>
    <w:rsid w:val="00A77DBC"/>
    <w:rsid w:val="00AC4F78"/>
    <w:rsid w:val="00AC6943"/>
    <w:rsid w:val="00AF3EFF"/>
    <w:rsid w:val="00B032E0"/>
    <w:rsid w:val="00B05F0D"/>
    <w:rsid w:val="00B05F19"/>
    <w:rsid w:val="00B22F43"/>
    <w:rsid w:val="00B23847"/>
    <w:rsid w:val="00B31AD7"/>
    <w:rsid w:val="00B3218B"/>
    <w:rsid w:val="00B4212B"/>
    <w:rsid w:val="00BB0A33"/>
    <w:rsid w:val="00BC520F"/>
    <w:rsid w:val="00C13819"/>
    <w:rsid w:val="00C261F9"/>
    <w:rsid w:val="00C37DF5"/>
    <w:rsid w:val="00C51889"/>
    <w:rsid w:val="00C908C6"/>
    <w:rsid w:val="00CB7E0D"/>
    <w:rsid w:val="00CC4FDD"/>
    <w:rsid w:val="00CE64D8"/>
    <w:rsid w:val="00CF2CA2"/>
    <w:rsid w:val="00D04346"/>
    <w:rsid w:val="00D16902"/>
    <w:rsid w:val="00D21F20"/>
    <w:rsid w:val="00D450C0"/>
    <w:rsid w:val="00D51315"/>
    <w:rsid w:val="00D705DF"/>
    <w:rsid w:val="00D732FA"/>
    <w:rsid w:val="00DC5BAE"/>
    <w:rsid w:val="00E227E0"/>
    <w:rsid w:val="00E27797"/>
    <w:rsid w:val="00E34B06"/>
    <w:rsid w:val="00E509F3"/>
    <w:rsid w:val="00E83116"/>
    <w:rsid w:val="00EA4D66"/>
    <w:rsid w:val="00EB0E31"/>
    <w:rsid w:val="00EE5495"/>
    <w:rsid w:val="00EF6CC6"/>
    <w:rsid w:val="00EF725F"/>
    <w:rsid w:val="00F0733E"/>
    <w:rsid w:val="00F1517F"/>
    <w:rsid w:val="00F22C28"/>
    <w:rsid w:val="00F510C0"/>
    <w:rsid w:val="00F514F4"/>
    <w:rsid w:val="00F71F01"/>
    <w:rsid w:val="00FA3E71"/>
    <w:rsid w:val="00FA7734"/>
    <w:rsid w:val="00FB31C7"/>
    <w:rsid w:val="00FB78D6"/>
    <w:rsid w:val="00FD0584"/>
    <w:rsid w:val="00FD6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2E112B0C-0741-4876-86ED-5677F6A5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Wendellab/KokiaKirkii" TargetMode="External"/><Relationship Id="rId4" Type="http://schemas.openxmlformats.org/officeDocument/2006/relationships/settings" Target="settings.xml"/><Relationship Id="rId9"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079D-4560-4442-A1D4-7B86F4DFC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3829</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7</cp:revision>
  <dcterms:created xsi:type="dcterms:W3CDTF">2017-04-26T20:35:00Z</dcterms:created>
  <dcterms:modified xsi:type="dcterms:W3CDTF">2017-04-26T21:26:00Z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