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36E01E3F" w:rsidR="001E096A" w:rsidRPr="00207BC8" w:rsidRDefault="00577D3B" w:rsidP="001E096A">
      <w:pPr>
        <w:jc w:val="center"/>
        <w:rPr>
          <w:b/>
        </w:rPr>
      </w:pPr>
      <w:r>
        <w:rPr>
          <w:b/>
        </w:rPr>
        <w:t>Comparative genomic</w:t>
      </w:r>
      <w:commentRangeStart w:id="0"/>
      <w:commentRangeStart w:id="1"/>
      <w:r w:rsidR="001E096A" w:rsidRPr="00207BC8">
        <w:rPr>
          <w:b/>
        </w:rPr>
        <w:t xml:space="preserve"> analysis</w:t>
      </w:r>
      <w:commentRangeEnd w:id="0"/>
      <w:r w:rsidR="00B46AF6">
        <w:rPr>
          <w:rStyle w:val="CommentReference"/>
        </w:rPr>
        <w:commentReference w:id="0"/>
      </w:r>
      <w:commentRangeEnd w:id="1"/>
      <w:r>
        <w:rPr>
          <w:rStyle w:val="CommentReference"/>
        </w:rPr>
        <w:commentReference w:id="1"/>
      </w:r>
      <w:r w:rsidR="001E096A" w:rsidRPr="00207BC8">
        <w:rPr>
          <w:b/>
        </w:rPr>
        <w:t xml:space="preserve"> </w:t>
      </w:r>
      <w:r>
        <w:rPr>
          <w:b/>
        </w:rPr>
        <w:t>and</w:t>
      </w:r>
      <w:r w:rsidR="001E096A" w:rsidRPr="00207BC8">
        <w:rPr>
          <w:b/>
        </w:rPr>
        <w:t xml:space="preserve"> an unusual biogeographic disjunction</w:t>
      </w:r>
      <w:r w:rsidR="00C37DF5">
        <w:rPr>
          <w:b/>
        </w:rPr>
        <w:t xml:space="preserve"> in the cotton tribe (Gossypieae)</w:t>
      </w:r>
    </w:p>
    <w:p w14:paraId="60CE6A03" w14:textId="32D673C2" w:rsidR="001E096A" w:rsidRDefault="006C0723" w:rsidP="001E096A">
      <w:r>
        <w:t>Corrinne</w:t>
      </w:r>
      <w:r w:rsidR="001E096A">
        <w:t xml:space="preserve"> E Grover</w:t>
      </w:r>
      <w:r w:rsidR="00577D3B">
        <w:t>1</w:t>
      </w:r>
      <w:r w:rsidR="001E096A">
        <w:t>, Mark A Arick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r w:rsidR="002613A6">
        <w:t>Guanjing Hu</w:t>
      </w:r>
      <w:r w:rsidR="00577D3B" w:rsidRPr="00577D3B">
        <w:rPr>
          <w:vertAlign w:val="superscript"/>
        </w:rPr>
        <w:t>1</w:t>
      </w:r>
      <w:r w:rsidR="002613A6">
        <w:t xml:space="preserve">, </w:t>
      </w:r>
      <w:r w:rsidR="001E096A">
        <w:t>William S Sanders</w:t>
      </w:r>
      <w:r w:rsidR="00577D3B" w:rsidRPr="00577D3B">
        <w:rPr>
          <w:vertAlign w:val="superscript"/>
        </w:rPr>
        <w:t>2</w:t>
      </w:r>
      <w:r w:rsidR="001E096A">
        <w:t>, Rubab Naqvi</w:t>
      </w:r>
      <w:r w:rsidR="00577D3B" w:rsidRPr="00577D3B">
        <w:rPr>
          <w:vertAlign w:val="superscript"/>
        </w:rPr>
        <w:t>3</w:t>
      </w:r>
      <w:r w:rsidR="001E096A">
        <w:t>, Muhammad Farooq</w:t>
      </w:r>
      <w:r w:rsidR="00577D3B" w:rsidRPr="00577D3B">
        <w:rPr>
          <w:vertAlign w:val="superscript"/>
        </w:rPr>
        <w:t>3</w:t>
      </w:r>
      <w:r w:rsidR="001E096A">
        <w:t>,</w:t>
      </w:r>
      <w:r w:rsidR="00D94147" w:rsidRPr="00D94147">
        <w:t xml:space="preserve"> Xiaochong</w:t>
      </w:r>
      <w:r w:rsidR="00D94147">
        <w:t xml:space="preserve"> </w:t>
      </w:r>
      <w:r w:rsidR="00FF27B6">
        <w:t>Li</w:t>
      </w:r>
      <w:r w:rsidR="00577D3B" w:rsidRPr="00577D3B">
        <w:rPr>
          <w:vertAlign w:val="superscript"/>
        </w:rPr>
        <w:t>4</w:t>
      </w:r>
      <w:r w:rsidR="00D94147">
        <w:t xml:space="preserve">, </w:t>
      </w:r>
      <w:r w:rsidR="00756A47">
        <w:t>Lei Gong</w:t>
      </w:r>
      <w:r w:rsidR="00577D3B" w:rsidRPr="00577D3B">
        <w:rPr>
          <w:vertAlign w:val="superscript"/>
        </w:rPr>
        <w:t>4</w:t>
      </w:r>
      <w:r w:rsidR="00756A47">
        <w:t xml:space="preserve">, </w:t>
      </w:r>
      <w:r w:rsidR="001E096A">
        <w:t>Joann Mudge</w:t>
      </w:r>
      <w:r w:rsidR="00577D3B" w:rsidRPr="00577D3B">
        <w:rPr>
          <w:vertAlign w:val="superscript"/>
        </w:rPr>
        <w:t>5</w:t>
      </w:r>
      <w:r w:rsidR="001E096A">
        <w:t>, Thiru Ramaraj</w:t>
      </w:r>
      <w:r w:rsidR="00577D3B" w:rsidRPr="00577D3B">
        <w:rPr>
          <w:vertAlign w:val="superscript"/>
        </w:rPr>
        <w:t>5</w:t>
      </w:r>
      <w:r w:rsidR="001E096A">
        <w:t>, Joshua A Udall</w:t>
      </w:r>
      <w:r w:rsidR="00577D3B" w:rsidRPr="00577D3B">
        <w:rPr>
          <w:vertAlign w:val="superscript"/>
        </w:rPr>
        <w:t>6</w:t>
      </w:r>
      <w:r w:rsidR="001E096A">
        <w:t>, Dani</w:t>
      </w:r>
      <w:r w:rsidR="007B6F34">
        <w:t>el G Peterson</w:t>
      </w:r>
      <w:r w:rsidR="00577D3B" w:rsidRPr="00577D3B">
        <w:rPr>
          <w:vertAlign w:val="superscript"/>
        </w:rPr>
        <w:t>2</w:t>
      </w:r>
      <w:r w:rsidR="007B6F34">
        <w:t>, Jodi Scheffler</w:t>
      </w:r>
      <w:r w:rsidR="00577D3B" w:rsidRPr="00577D3B">
        <w:rPr>
          <w:vertAlign w:val="superscript"/>
        </w:rPr>
        <w:t>7</w:t>
      </w:r>
      <w:r w:rsidR="007B6F34">
        <w:t xml:space="preserve">, </w:t>
      </w:r>
      <w:r w:rsidR="00E83116">
        <w:t>Brian Scheffler</w:t>
      </w:r>
      <w:r w:rsidR="00764C5B">
        <w:rPr>
          <w:vertAlign w:val="superscript"/>
        </w:rPr>
        <w:t>7</w:t>
      </w:r>
      <w:r w:rsidR="00E83116">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77777777" w:rsidR="00577D3B" w:rsidRDefault="00577D3B" w:rsidP="001E096A">
      <w:r>
        <w:t>1 Department of Ecology, Evolution, and Organismal Biology, Iowa State University, Ames IA 50011 USA</w:t>
      </w:r>
    </w:p>
    <w:p w14:paraId="662AA2AC" w14:textId="3BA4EFC4" w:rsidR="00577D3B" w:rsidRDefault="00577D3B" w:rsidP="001E096A">
      <w:r>
        <w:t xml:space="preserve">2 </w:t>
      </w:r>
      <w:r w:rsidR="00764C5B" w:rsidRPr="00764C5B">
        <w:t>Institute for Genomics, Biocomputing, and Biotechnology, Mississippi State University, Mississippie State, MS</w:t>
      </w:r>
    </w:p>
    <w:p w14:paraId="231F3DCB" w14:textId="77777777" w:rsidR="00EC5B4C" w:rsidRDefault="00577D3B" w:rsidP="001E096A">
      <w:r>
        <w:t xml:space="preserve">3 </w:t>
      </w:r>
      <w:r w:rsidR="00EC5B4C">
        <w:t>Naqvi/Farooq</w:t>
      </w:r>
    </w:p>
    <w:p w14:paraId="00812A99" w14:textId="77777777" w:rsidR="00EC5B4C" w:rsidRDefault="00EC5B4C" w:rsidP="001E096A">
      <w:r>
        <w:t>4 Gong/Li</w:t>
      </w:r>
    </w:p>
    <w:p w14:paraId="6B3C70FE" w14:textId="78282D2C" w:rsidR="00EC5B4C" w:rsidRDefault="00EC5B4C" w:rsidP="001E096A">
      <w:r>
        <w:t>5 NCGR</w:t>
      </w:r>
    </w:p>
    <w:p w14:paraId="17952389" w14:textId="3859F6CF" w:rsidR="00EC5B4C" w:rsidRDefault="00EC5B4C" w:rsidP="001E096A">
      <w:r>
        <w:t>6 BYU or NCGR? Both?</w:t>
      </w:r>
    </w:p>
    <w:p w14:paraId="50C6476E" w14:textId="5D76DF2D" w:rsidR="00EC5B4C" w:rsidRDefault="00EC5B4C" w:rsidP="001E096A">
      <w:r>
        <w:t xml:space="preserve">7 </w:t>
      </w:r>
      <w:r w:rsidR="00764C5B" w:rsidRPr="00764C5B">
        <w:t>Jamie Whitten Delta States Research Center, USDA-ARS, Stoneville, MS 38776, USA</w:t>
      </w:r>
    </w:p>
    <w:p w14:paraId="69C5F0DF" w14:textId="4291C9A8" w:rsidR="00AA5C4C" w:rsidRDefault="00AA5C4C">
      <w:bookmarkStart w:id="2" w:name="_GoBack"/>
      <w:bookmarkEnd w:id="2"/>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6E1A2CE1" w14:textId="5505C9D1" w:rsidR="003B3EC1" w:rsidRPr="00F0731A" w:rsidRDefault="00255D5E">
      <w:r>
        <w:t xml:space="preserve">Long-distance insular dispersal is associated with divergence and speciation due to the presence of founder effects and strong genetic drift. The </w:t>
      </w:r>
      <w:r w:rsidR="003B3EC1">
        <w:t xml:space="preserve">cotton </w:t>
      </w:r>
      <w:r>
        <w:t>tribe</w:t>
      </w:r>
      <w:r w:rsidR="003B3EC1">
        <w:t xml:space="preserve"> (Gossypieae) has experienced multiple trans-oceanic dispersals which has allowed its members to attain geographic ranges in the tropics and subtropics world-wide.</w:t>
      </w:r>
      <w:r w:rsidR="00F0731A">
        <w:t xml:space="preserve"> Two genera within Gossypieae, i.e., </w:t>
      </w:r>
      <w:r w:rsidR="00F0731A">
        <w:rPr>
          <w:i/>
        </w:rPr>
        <w:t>Kokia</w:t>
      </w:r>
      <w:r w:rsidR="00F0731A">
        <w:t xml:space="preserve"> and </w:t>
      </w:r>
      <w:r w:rsidR="00F0731A">
        <w:rPr>
          <w:i/>
        </w:rPr>
        <w:t>Gossypioides</w:t>
      </w:r>
      <w:r w:rsidR="00F0731A">
        <w:t>, together comprise an interesting evolutionary history whereby closely related sister genera have, in less than 10 million years, individually attained small, restricted distributions half the world apart.</w:t>
      </w:r>
      <w:r w:rsidR="004D4684">
        <w:t xml:space="preserve"> The genomic analyses presented here begin to elucidate some of the consequences of this demographic history, including extensive gene deletion and relatively quiescent transposable elements, whose modest gains are offset by biases in indel formation leading to genome size stasis. </w:t>
      </w:r>
    </w:p>
    <w:p w14:paraId="03DD5068" w14:textId="77777777" w:rsidR="003B3EC1" w:rsidRDefault="003B3EC1"/>
    <w:p w14:paraId="162FA17D" w14:textId="7D38B74F" w:rsidR="00AA5C4C" w:rsidRPr="00255D5E" w:rsidRDefault="003B3EC1">
      <w:r>
        <w:t xml:space="preserve"> =^. .^=</w:t>
      </w:r>
      <w:r w:rsidR="00AA5C4C" w:rsidRPr="00255D5E">
        <w:br w:type="page"/>
      </w:r>
    </w:p>
    <w:p w14:paraId="7CE82219" w14:textId="785CAB96" w:rsidR="00485F39" w:rsidRPr="00C13819" w:rsidRDefault="00485F39" w:rsidP="001E096A">
      <w:pPr>
        <w:rPr>
          <w:b/>
        </w:rPr>
      </w:pPr>
      <w:r w:rsidRPr="00C13819">
        <w:rPr>
          <w:b/>
        </w:rPr>
        <w:lastRenderedPageBreak/>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042A9E1B"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w:t>
      </w:r>
      <w:commentRangeStart w:id="3"/>
      <w:r w:rsidR="00E513C4">
        <w:t>4-6</w:t>
      </w:r>
      <w:commentRangeEnd w:id="3"/>
      <w:r w:rsidR="00E513C4">
        <w:rPr>
          <w:rStyle w:val="CommentReference"/>
        </w:rPr>
        <w:commentReference w:id="3"/>
      </w:r>
      <w:r w:rsidR="00E513C4">
        <w:t xml:space="preserve"> </w:t>
      </w:r>
      <w:r w:rsidR="008772EF">
        <w:t xml:space="preserve"> </w:t>
      </w:r>
      <w:commentRangeStart w:id="4"/>
      <w:r w:rsidR="008772EF">
        <w:t xml:space="preserve"> </w:t>
      </w:r>
      <w:commentRangeStart w:id="5"/>
      <w:commentRangeStart w:id="6"/>
      <w:r w:rsidR="008772EF">
        <w:t>mya</w:t>
      </w:r>
      <w:commentRangeEnd w:id="4"/>
      <w:r w:rsidR="00C34EE2">
        <w:t xml:space="preserve"> </w:t>
      </w:r>
      <w:commentRangeEnd w:id="5"/>
      <w:r w:rsidR="00C13D06">
        <w:rPr>
          <w:rStyle w:val="CommentReference"/>
        </w:rPr>
        <w:commentReference w:id="5"/>
      </w:r>
      <w:commentRangeEnd w:id="6"/>
      <w:r w:rsidR="0058003F">
        <w:rPr>
          <w:rStyle w:val="CommentReference"/>
        </w:rPr>
        <w:commentReference w:id="6"/>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E4D83">
        <w:rPr>
          <w:rStyle w:val="CommentReference"/>
        </w:rPr>
        <w:commentReference w:id="4"/>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t xml:space="preserve">The trimmed DNA data and RNA assembly were </w:t>
      </w:r>
      <w:r w:rsidR="000D2ABF">
        <w:t xml:space="preserve">jointly </w:t>
      </w:r>
      <w:r>
        <w:t xml:space="preserve">assembled via ABySS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ABySS using the MEGAHIT-derived transcripts. ABySS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commentRangeStart w:id="7"/>
      <w:r>
        <w:t xml:space="preserve">Pilon </w:t>
      </w:r>
      <w:commentRangeEnd w:id="7"/>
      <w:r>
        <w:rPr>
          <w:rStyle w:val="CommentReference"/>
        </w:rPr>
        <w:commentReference w:id="7"/>
      </w:r>
      <w:r>
        <w:t xml:space="preserve">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RNASeq-assembly to pass to MAKER as EST evidence. The first pass of MAKER was run using the combination of: (1) the output from Genemark,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model, (4) the Trinity RNASeq-assembly as ESTs, and (5) the UniProt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10534" w:rsidR="00FA2E63" w:rsidRDefault="00FA2E63" w:rsidP="00FA2E63">
      <w:pPr>
        <w:rPr>
          <w:i/>
        </w:rPr>
      </w:pPr>
      <w:r>
        <w:rPr>
          <w:i/>
        </w:rPr>
        <w:t>dN/dS</w:t>
      </w:r>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commentRangeStart w:id="8"/>
      <w:r>
        <w:rPr>
          <w:i/>
        </w:rPr>
        <w:t>Estimating Divergence Time</w:t>
      </w:r>
      <w:r w:rsidR="00F17652">
        <w:rPr>
          <w:i/>
        </w:rPr>
        <w:t>s</w:t>
      </w:r>
      <w:commentRangeEnd w:id="8"/>
      <w:r w:rsidR="00101FE1">
        <w:rPr>
          <w:rStyle w:val="CommentReference"/>
        </w:rPr>
        <w:commentReference w:id="8"/>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r w:rsidR="004D34CB" w:rsidRPr="0058003F">
        <w:rPr>
          <w:i/>
        </w:rPr>
        <w:t>AdhA</w:t>
      </w:r>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G. raimondii</w:t>
      </w:r>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11"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5AE5405" w:rsidR="00430960" w:rsidRPr="00DD5F6E" w:rsidRDefault="00101150" w:rsidP="001E096A">
      <w:pPr>
        <w:rPr>
          <w:i/>
        </w:rPr>
      </w:pPr>
      <w:r>
        <w:t xml:space="preserve">A custom Python script </w:t>
      </w:r>
      <w:r w:rsidR="002B679B">
        <w:t>(</w:t>
      </w:r>
      <w:hyperlink r:id="rId12"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gmap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Results were visualized with Circos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6A6D783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3"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Repbase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commentRangeStart w:id="9"/>
      <w:r w:rsidR="00315614" w:rsidRPr="008523D3">
        <w:rPr>
          <w:highlight w:val="yellow"/>
        </w:rPr>
        <w:t>FIGURE</w:t>
      </w:r>
      <w:r w:rsidR="00315614">
        <w:t xml:space="preserve"> </w:t>
      </w:r>
      <w:commentRangeEnd w:id="9"/>
      <w:r w:rsidR="00C03EAF">
        <w:rPr>
          <w:rStyle w:val="CommentReference"/>
        </w:rPr>
        <w:commentReference w:id="9"/>
      </w:r>
      <w:commentRangeStart w:id="10"/>
      <w:r w:rsidR="00EC5CA9">
        <w:t>Cutoff</w:t>
      </w:r>
      <w:commentRangeEnd w:id="10"/>
      <w:r w:rsidR="00C03EAF">
        <w:rPr>
          <w:rStyle w:val="CommentReference"/>
        </w:rPr>
        <w:commentReference w:id="10"/>
      </w:r>
      <w:r w:rsidR="00315614">
        <w:t xml:space="preserve">; </w:t>
      </w:r>
      <w:hyperlink r:id="rId14"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5"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E69A48B"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BLASTn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w:t>
      </w:r>
      <w:r w:rsidR="00D407A6">
        <w:t xml:space="preserve"> </w:t>
      </w:r>
      <w:r w:rsidR="008F007C">
        <w:t xml:space="preserve">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representing more recent divergences</w:t>
      </w:r>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6"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4B9719FB"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4BC140C4"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 xml:space="preserve">nearly </w:t>
      </w:r>
      <w:commentRangeStart w:id="11"/>
      <w:r w:rsidR="00E94846">
        <w:t>8,000 additional gene models in th</w:t>
      </w:r>
      <w:r w:rsidR="00D67112">
        <w:t>e</w:t>
      </w:r>
      <w:r w:rsidR="00E94846">
        <w:t xml:space="preserve"> </w:t>
      </w:r>
      <w:r w:rsidR="00D67112">
        <w:rPr>
          <w:i/>
        </w:rPr>
        <w:t xml:space="preserve">G. raimondii </w:t>
      </w:r>
      <w:r w:rsidR="00E94846">
        <w:t>genome</w:t>
      </w:r>
      <w:commentRangeEnd w:id="11"/>
      <w:r w:rsidR="00A119F6">
        <w:rPr>
          <w:rStyle w:val="CommentReference"/>
        </w:rPr>
        <w:commentReference w:id="11"/>
      </w:r>
      <w:r w:rsidR="00E94846">
        <w:t xml:space="preserv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3E650EE"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py orthologs with a dS value below our threshold (to eliminate saturated synonymous sites</w:t>
      </w:r>
      <w:r w:rsidR="00A119F6">
        <w:t xml:space="preserve"> and likely paralogs</w:t>
      </w:r>
      <w:r w:rsidR="007D17C2">
        <w:t>)</w:t>
      </w:r>
      <w:r w:rsidR="001646A8">
        <w:t>. The median of the resultant</w:t>
      </w:r>
      <w:r>
        <w:t xml:space="preserve"> dS distribution (Figure MalvaceaeDivergence)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commentRangeStart w:id="12"/>
      <w:r>
        <w:t xml:space="preserve">3,718 </w:t>
      </w:r>
      <w:r w:rsidR="007E07B8">
        <w:t>groups</w:t>
      </w:r>
      <w:r w:rsidR="000E0CD8">
        <w:t xml:space="preserve"> were excluded</w:t>
      </w:r>
      <w:commentRangeEnd w:id="12"/>
      <w:r w:rsidR="00CE4B20">
        <w:rPr>
          <w:rStyle w:val="CommentReference"/>
        </w:rPr>
        <w:commentReference w:id="12"/>
      </w:r>
      <w:r w:rsidR="000E0CD8">
        <w:t xml:space="preserve">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203A071D"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xml:space="preserve">, </w:t>
      </w:r>
      <w:commentRangeStart w:id="13"/>
      <w:r w:rsidR="00D87FFA">
        <w:t>respectively</w:t>
      </w:r>
      <w:commentRangeEnd w:id="13"/>
      <w:r w:rsidR="00CE4B20">
        <w:rPr>
          <w:rStyle w:val="CommentReference"/>
        </w:rPr>
        <w:commentReference w:id="13"/>
      </w:r>
      <w:r w:rsidR="006C2425">
        <w:t>).</w:t>
      </w:r>
    </w:p>
    <w:p w14:paraId="58A01E28" w14:textId="6D2F98E2"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non-viable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463FD084"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(Hawkins et al. 2006, Baucom et al. 2009, Schnable et al. 2009, Tian et al. 2009, Lee and Kim 2014)</w:t>
      </w:r>
      <w:r w:rsidR="0029324D">
        <w:fldChar w:fldCharType="end"/>
      </w:r>
      <w:r w:rsidR="005A0A86">
        <w:t>{Paterson,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45BFFC08"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772F9D">
        <w:t xml:space="preserve"> (Figure_circos.png)</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25CCE6E5"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comprises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3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t xml:space="preserve">locations. We note, however, that the Hawaiian Islands are the world’s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island-hopping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1163AF25" w14:textId="71B83E8C" w:rsidR="000C2AB8" w:rsidRPr="0095490B" w:rsidRDefault="00BC213F" w:rsidP="00633CE1">
      <w:pPr>
        <w:autoSpaceDE w:val="0"/>
        <w:autoSpaceDN w:val="0"/>
        <w:adjustRightInd w:val="0"/>
        <w:spacing w:after="0" w:line="240" w:lineRule="auto"/>
        <w:rPr>
          <w:b/>
        </w:rPr>
      </w:pPr>
      <w:r>
        <w:rPr>
          <w:b/>
          <w:i/>
        </w:rPr>
        <w:t xml:space="preserve">Extensive gene removal differentiates </w:t>
      </w:r>
      <w:r>
        <w:rPr>
          <w:b/>
        </w:rPr>
        <w:t>Kokia</w:t>
      </w:r>
      <w:r>
        <w:rPr>
          <w:b/>
          <w:i/>
        </w:rPr>
        <w:t xml:space="preserve"> and </w:t>
      </w:r>
      <w:r>
        <w:rPr>
          <w:b/>
        </w:rPr>
        <w:t>Gossypioides</w:t>
      </w:r>
      <w:r w:rsidR="0095490B">
        <w:rPr>
          <w:b/>
        </w:rPr>
        <w:t xml:space="preserve">. </w:t>
      </w:r>
      <w:r w:rsidR="00F349BA">
        <w:t>Variation in gene content among species, and even individuals, is far more extensive than once considered, leading to the dual concepts of “core” and “dispensable” genomes (together, the pan-genome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while more limited than prokaryotic research, suggests that many plant species exhibit evidence of a pan-genome whose “dispensable” component, like prokaryotes, may contribute to 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633CE1">
        <w:t xml:space="preserve">Given that only ~70% of low copy sequences are conserved in the maize pan-genome </w:t>
      </w:r>
      <w:r w:rsidR="00113FDF">
        <w:fldChar w:fldCharType="begin"/>
      </w:r>
      <w:r w:rsidR="00113FDF">
        <w:instrText xml:space="preserve"> ADDIN EN.CITE &lt;EndNote&gt;&lt;Cite&gt;&lt;Author&gt;Gore&lt;/Author&gt;&lt;Year&gt;2009&lt;/Year&gt;&lt;RecNum&gt;184&lt;/RecNum&gt;&lt;DisplayText&gt;(Gore et al. 2009)&lt;/DisplayText&gt;&lt;record&gt;&lt;rec-number&gt;184&lt;/rec-number&gt;&lt;foreign-keys&gt;&lt;key app="EN" db-id="pp52ea5zf59f5hesttlxpff4r9dawfravxwa"&gt;184&lt;/key&gt;&lt;/foreign-keys&gt;&lt;ref-type name="Journal Article"&gt;17&lt;/ref-type&gt;&lt;contributors&gt;&lt;authors&gt;&lt;author&gt;Gore, Michael A&lt;/author&gt;&lt;author&gt;Chia, Jer-Ming&lt;/author&gt;&lt;author&gt;Elshire, Robert J&lt;/author&gt;&lt;author&gt;Sun, Qi&lt;/author&gt;&lt;author&gt;Ersoz, Elhan S&lt;/author&gt;&lt;author&gt;Hurwitz, Bonnie L&lt;/author&gt;&lt;author&gt;Peiffer, Jason A&lt;/author&gt;&lt;author&gt;McMullen, Michael D&lt;/author&gt;&lt;author&gt;Grills, George S&lt;/author&gt;&lt;author&gt;Ross-Ibarra, Jeffrey&lt;/author&gt;&lt;/authors&gt;&lt;/contributors&gt;&lt;titles&gt;&lt;title&gt;A first-generation haplotype map of maize&lt;/title&gt;&lt;secondary-title&gt;Science&lt;/secondary-title&gt;&lt;/titles&gt;&lt;periodical&gt;&lt;full-title&gt;Science&lt;/full-title&gt;&lt;abbr-1&gt;Science&lt;/abbr-1&gt;&lt;/periodical&gt;&lt;pages&gt;1115-1117&lt;/pages&gt;&lt;volume&gt;326&lt;/volume&gt;&lt;number&gt;5956&lt;/number&gt;&lt;dates&gt;&lt;year&gt;2009&lt;/year&gt;&lt;/dates&gt;&lt;isbn&gt;0036-8075&lt;/isbn&gt;&lt;urls&gt;&lt;/urls&gt;&lt;/record&gt;&lt;/Cite&gt;&lt;/EndNote&gt;</w:instrText>
      </w:r>
      <w:r w:rsidR="00113FDF">
        <w:fldChar w:fldCharType="separate"/>
      </w:r>
      <w:r w:rsidR="00113FDF">
        <w:rPr>
          <w:noProof/>
        </w:rPr>
        <w:t>(Gore et al. 2009)</w:t>
      </w:r>
      <w:r w:rsidR="00113FDF">
        <w:fldChar w:fldCharType="end"/>
      </w:r>
      <w:r w:rsidR="00633CE1">
        <w:t xml:space="preserve">, the abundance of gene deletions between </w:t>
      </w:r>
      <w:r w:rsidR="00633CE1">
        <w:rPr>
          <w:i/>
        </w:rPr>
        <w:t>Kokia</w:t>
      </w:r>
      <w:r w:rsidR="00633CE1">
        <w:t xml:space="preserve"> and </w:t>
      </w:r>
      <w:r w:rsidR="00633CE1">
        <w:rPr>
          <w:i/>
        </w:rPr>
        <w:t>Gossypioides</w:t>
      </w:r>
      <w:r w:rsidR="00633CE1">
        <w:t xml:space="preserve"> (circa 188-377 per lineage per million years) appears to be a reasonable estimate of gene elimination post-divergence. Perhaps more surprising is the number of </w:t>
      </w:r>
      <w:r w:rsidR="00D1796F">
        <w:t xml:space="preserve">additional </w:t>
      </w:r>
      <w:r w:rsidR="00633CE1">
        <w:t xml:space="preserve">genes in the </w:t>
      </w:r>
      <w:r w:rsidR="00633CE1">
        <w:rPr>
          <w:i/>
        </w:rPr>
        <w:t>Gossypium raimondii</w:t>
      </w:r>
      <w:r w:rsidR="00633CE1">
        <w:t xml:space="preserve"> genome </w:t>
      </w:r>
      <w:r w:rsidR="00D1796F">
        <w:t xml:space="preserve">as compared to the number </w:t>
      </w:r>
      <w:r w:rsidR="00633CE1">
        <w:t xml:space="preserve">found in either </w:t>
      </w:r>
      <w:r w:rsidR="00633CE1">
        <w:rPr>
          <w:i/>
        </w:rPr>
        <w:t>Kokia</w:t>
      </w:r>
      <w:r w:rsidR="00633CE1">
        <w:t xml:space="preserve"> or </w:t>
      </w:r>
      <w:r w:rsidR="00633CE1">
        <w:rPr>
          <w:i/>
        </w:rPr>
        <w:t>Gossypioides</w:t>
      </w:r>
      <w:r w:rsidR="00633CE1">
        <w:t xml:space="preserve"> (</w:t>
      </w:r>
      <w:r w:rsidR="009B12B6">
        <w:t>n</w:t>
      </w:r>
      <w:r w:rsidR="00D1796F">
        <w:t>=~</w:t>
      </w:r>
      <w:r w:rsidR="00633CE1">
        <w:t xml:space="preserve">8,000). As gene deletions dramatically outweigh insertions, we infer </w:t>
      </w:r>
      <w:r w:rsidR="009B12B6">
        <w:t xml:space="preserve">that many of </w:t>
      </w:r>
      <w:r w:rsidR="00633CE1">
        <w:t xml:space="preserve">these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1,455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 approaching equivalence (at most two-fold difference, see results).</w:t>
      </w:r>
    </w:p>
    <w:p w14:paraId="23286276" w14:textId="77777777" w:rsidR="00633CE1" w:rsidRPr="000C2AB8" w:rsidRDefault="00633CE1" w:rsidP="00EA4D66">
      <w:pPr>
        <w:autoSpaceDE w:val="0"/>
        <w:autoSpaceDN w:val="0"/>
        <w:adjustRightInd w:val="0"/>
        <w:spacing w:after="0" w:line="240" w:lineRule="auto"/>
        <w:rPr>
          <w:b/>
        </w:rPr>
      </w:pPr>
    </w:p>
    <w:p w14:paraId="78E9A236" w14:textId="5480E5FE"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populations subject to strong genetic drift </w: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not have measures of population size in the present, from the demographic history of </w:t>
      </w:r>
      <w:r w:rsidR="0043137E">
        <w:rPr>
          <w:i/>
        </w:rPr>
        <w:t>Kokia</w:t>
      </w:r>
      <w:r w:rsidR="0043137E">
        <w:t xml:space="preserve"> </w:t>
      </w:r>
      <w:r w:rsidR="0043137E">
        <w:rPr>
          <w:i/>
        </w:rPr>
        <w:t>drynarioides</w:t>
      </w:r>
      <w:r w:rsidR="0043137E">
        <w:t xml:space="preserve"> we are aware of a minimum of two severe population reductions: (1) dispersal/speciation on the Hawaiian Islands and (2) dramatic population reduction in response to deforestation. 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which could represent genome stasis or strong constraints on genome size. Analysis of their global repetitive content suggests that there is only an approximately 1 Mb difference in total (identifiable) repeat content, with very similar </w:t>
      </w:r>
      <w:r w:rsidR="00E3209D">
        <w:t>overall repetitive profiles for each.</w:t>
      </w:r>
    </w:p>
    <w:p w14:paraId="3600E861" w14:textId="77777777" w:rsidR="0043137E" w:rsidRDefault="0043137E" w:rsidP="0043137E">
      <w:pPr>
        <w:autoSpaceDE w:val="0"/>
        <w:autoSpaceDN w:val="0"/>
        <w:adjustRightInd w:val="0"/>
        <w:spacing w:after="0" w:line="240" w:lineRule="auto"/>
      </w:pPr>
    </w:p>
    <w:p w14:paraId="5BDFA754" w14:textId="49DF8DAE" w:rsidR="0043137E" w:rsidRDefault="0043137E" w:rsidP="0043137E">
      <w:pPr>
        <w:autoSpaceDE w:val="0"/>
        <w:autoSpaceDN w:val="0"/>
        <w:adjustRightInd w:val="0"/>
        <w:spacing w:after="0" w:line="240" w:lineRule="auto"/>
      </w:pPr>
      <w:r>
        <w:t xml:space="preserve">Nevertheless, it is clear that differences exist between the two species that likely reflect both gain and loss of </w:t>
      </w:r>
      <w:r w:rsidR="009F0873">
        <w:t xml:space="preserve">repetitive </w:t>
      </w:r>
      <w:r>
        <w:t xml:space="preserve">sequence. Most of the “younger” differentially abundant clusters that distinguish </w:t>
      </w:r>
      <w:r>
        <w:rPr>
          <w:i/>
        </w:rPr>
        <w:t xml:space="preserve">K. drynarioides </w:t>
      </w:r>
      <w:r>
        <w:t xml:space="preserve">and </w:t>
      </w:r>
      <w:r>
        <w:rPr>
          <w:i/>
        </w:rPr>
        <w:t>G. kirkii</w:t>
      </w:r>
      <w:r>
        <w:t xml:space="preserve"> are over-represented in </w:t>
      </w:r>
      <w:r>
        <w:rPr>
          <w:i/>
        </w:rPr>
        <w:t>K. drynarioides</w:t>
      </w:r>
      <w:r>
        <w:t>, a result consistent with the observation that a reduction in population size and concomitant increase in the severity of genetic drift can lead to an increase in insertional</w:t>
      </w:r>
      <w:r w:rsidR="00E3209D">
        <w:t xml:space="preserve"> mutations</w:t>
      </w:r>
      <w:r>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t xml:space="preserve">. Ancestral state reconstructions of TE amounts (Figure_grid.anc.png) also suggest both gain and loss in </w:t>
      </w:r>
      <w:r w:rsidRPr="00AF568B">
        <w:rPr>
          <w:i/>
        </w:rPr>
        <w:t>K. drynarioides</w:t>
      </w:r>
      <w:r>
        <w:t xml:space="preserve"> and </w:t>
      </w:r>
      <w:r w:rsidRPr="00AF568B">
        <w:rPr>
          <w:i/>
        </w:rPr>
        <w:t>G. kirkii</w:t>
      </w:r>
      <w:r w:rsidR="00E3209D">
        <w:rPr>
          <w:i/>
        </w:rPr>
        <w:t xml:space="preserve"> </w:t>
      </w:r>
      <w:r w:rsidR="00E3209D">
        <w:t>of approximately the same magnitude</w:t>
      </w:r>
      <w:r>
        <w:t xml:space="preserve">, </w:t>
      </w:r>
      <w:r w:rsidR="00E3209D">
        <w:t xml:space="preserve">which </w:t>
      </w:r>
      <w:r>
        <w:t>account</w:t>
      </w:r>
      <w:r w:rsidR="00E3209D">
        <w:t>s</w:t>
      </w:r>
      <w:r>
        <w:t xml:space="preserve"> for the static genome size of these species in the face of a changing TE landscape. That is, while the relative age of reads can predict large jumps in occupation of a given repeat, ancestral state reconstructions consider both steady/small transpositional gains relative and loss (although it bears noting that large transpositional bursts will violate the assumption of Brownian motion).  </w:t>
      </w:r>
    </w:p>
    <w:p w14:paraId="66FC647D" w14:textId="77777777" w:rsidR="0043137E" w:rsidRDefault="0043137E" w:rsidP="00EA4D66">
      <w:pPr>
        <w:autoSpaceDE w:val="0"/>
        <w:autoSpaceDN w:val="0"/>
        <w:adjustRightInd w:val="0"/>
        <w:spacing w:after="0" w:line="240" w:lineRule="auto"/>
        <w:rPr>
          <w:b/>
          <w:i/>
        </w:rPr>
      </w:pPr>
    </w:p>
    <w:p w14:paraId="00799FFB" w14:textId="48E300B5" w:rsidR="0043137E" w:rsidRDefault="00554457" w:rsidP="0043137E">
      <w:pPr>
        <w:autoSpaceDE w:val="0"/>
        <w:autoSpaceDN w:val="0"/>
        <w:adjustRightInd w:val="0"/>
        <w:spacing w:after="0" w:line="240" w:lineRule="auto"/>
      </w:pPr>
      <w:r>
        <w:rPr>
          <w:b/>
          <w:i/>
        </w:rPr>
        <w:t>Rates of indel formation compensates for biased TE proliferation</w:t>
      </w:r>
      <w:r w:rsidR="001B432F">
        <w:rPr>
          <w:b/>
          <w:i/>
        </w:rPr>
        <w:t xml:space="preserve">. </w:t>
      </w:r>
      <w:r w:rsidR="00307212">
        <w:t>While transposable elements are capable of substantially altering genome size and structure, the presence of indels is not without consequence for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9C49DF">
        <w:t>, albeit using two exemplary regions to represent the cotton genome</w:t>
      </w:r>
      <w:r w:rsidR="00307212">
        <w:t>.</w:t>
      </w:r>
      <w:r w:rsidR="009C49DF">
        <w:t xml:space="preserve"> </w:t>
      </w:r>
      <w:r w:rsidR="0043137E">
        <w:t>Global patterns of indel formation</w:t>
      </w:r>
      <w:r w:rsidR="009C49DF">
        <w:t xml:space="preserve">, as afforded by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than those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These differences also neatly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r>
        <w:rPr>
          <w:b/>
          <w:i/>
        </w:rPr>
        <w:t>Conclusions</w:t>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xml:space="preserve">. While some of these additional gene models may be due to differences in annotation methods between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577AE2E3"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the Iowa State University ResearchIT Unit (</w:t>
      </w:r>
      <w:hyperlink r:id="rId17"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656B3DCD" w14:textId="599C6C62" w:rsidR="00C03EAF" w:rsidRDefault="00C03EAF" w:rsidP="00EA4D66">
      <w:pPr>
        <w:autoSpaceDE w:val="0"/>
        <w:autoSpaceDN w:val="0"/>
        <w:adjustRightInd w:val="0"/>
        <w:spacing w:after="0" w:line="240" w:lineRule="auto"/>
      </w:pPr>
      <w:commentRangeStart w:id="14"/>
      <w:r>
        <w:t xml:space="preserve">Figure </w:t>
      </w:r>
      <w:commentRangeEnd w:id="14"/>
      <w:r w:rsidR="008F62B4">
        <w:rPr>
          <w:rStyle w:val="CommentReference"/>
        </w:rPr>
        <w:commentReference w:id="14"/>
      </w:r>
      <w:r>
        <w:t>Cotton Cutoff :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60F6CC42" w14:textId="7706E5F3" w:rsidR="00C03EAF" w:rsidRDefault="00C03EAF" w:rsidP="00EA4D66">
      <w:pPr>
        <w:autoSpaceDE w:val="0"/>
        <w:autoSpaceDN w:val="0"/>
        <w:adjustRightInd w:val="0"/>
        <w:spacing w:after="0" w:line="240" w:lineRule="auto"/>
      </w:pPr>
    </w:p>
    <w:p w14:paraId="7FB153B5" w14:textId="0867A47B" w:rsidR="00C03EAF" w:rsidRDefault="00C03EAF" w:rsidP="00C03EAF">
      <w:pPr>
        <w:autoSpaceDE w:val="0"/>
        <w:autoSpaceDN w:val="0"/>
        <w:adjustRightInd w:val="0"/>
        <w:spacing w:after="0" w:line="240" w:lineRule="auto"/>
      </w:pPr>
      <w:commentRangeStart w:id="15"/>
      <w:r>
        <w:t xml:space="preserve">Figure </w:t>
      </w:r>
      <w:commentRangeEnd w:id="15"/>
      <w:r w:rsidR="008F62B4">
        <w:rPr>
          <w:rStyle w:val="CommentReference"/>
        </w:rPr>
        <w:commentReference w:id="15"/>
      </w:r>
      <w:r>
        <w:t>TEages : Example graphs for regression analyses used for approximate dating. A histogram for  percent identity (x-axis) among reads was generated and described via regression models (line), testing both linear (</w:t>
      </w:r>
      <w:r w:rsidRPr="008F007C">
        <w:t>Y = a + bX</w:t>
      </w:r>
      <w:r>
        <w:t>) and quadratic</w:t>
      </w:r>
      <w:r w:rsidRPr="008F007C">
        <w:t xml:space="preserve"> </w:t>
      </w:r>
      <w:r>
        <w:t>(</w:t>
      </w:r>
      <w:r w:rsidRPr="008F007C">
        <w:t>Y = a + bX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w:t>
      </w:r>
      <w:r w:rsidR="007D17C2">
        <w:t xml:space="preserve">ing the cluster is composed of </w:t>
      </w:r>
      <w:r>
        <w:t>relatively young elements, whereas categories 3, 4b, and 5 trend toward lower identity, indicative of older (less identical) elements.</w:t>
      </w:r>
    </w:p>
    <w:p w14:paraId="1D575897" w14:textId="3AEE5639" w:rsidR="008F62B4" w:rsidRDefault="008F62B4" w:rsidP="00C03EAF">
      <w:pPr>
        <w:autoSpaceDE w:val="0"/>
        <w:autoSpaceDN w:val="0"/>
        <w:adjustRightInd w:val="0"/>
        <w:spacing w:after="0" w:line="240" w:lineRule="auto"/>
      </w:pPr>
    </w:p>
    <w:p w14:paraId="646E997A" w14:textId="71E73568" w:rsidR="008F62B4" w:rsidRDefault="008F62B4" w:rsidP="00C03EAF">
      <w:pPr>
        <w:autoSpaceDE w:val="0"/>
        <w:autoSpaceDN w:val="0"/>
        <w:adjustRightInd w:val="0"/>
        <w:spacing w:after="0" w:line="240" w:lineRule="auto"/>
      </w:pPr>
      <w:r>
        <w:t xml:space="preserve">Figure </w:t>
      </w:r>
      <w:commentRangeStart w:id="16"/>
      <w:r>
        <w:t xml:space="preserve">TEamounts </w:t>
      </w:r>
      <w:commentRangeEnd w:id="16"/>
      <w:r>
        <w:rPr>
          <w:rStyle w:val="CommentReference"/>
        </w:rPr>
        <w:commentReference w:id="16"/>
      </w:r>
      <w:r>
        <w:t>: The (average) aggregate number of kilobases represented by each transposable element category for each species. Transposable elements were broadly categorized into categories and their representation per species summarized (displayed as a log-scale due to the extensive range in genome occupation among elements).</w:t>
      </w:r>
    </w:p>
    <w:p w14:paraId="4DF8BAF6" w14:textId="7C15917E" w:rsidR="008F62B4" w:rsidRDefault="008F62B4" w:rsidP="00C03EAF">
      <w:pPr>
        <w:autoSpaceDE w:val="0"/>
        <w:autoSpaceDN w:val="0"/>
        <w:adjustRightInd w:val="0"/>
        <w:spacing w:after="0" w:line="240" w:lineRule="auto"/>
      </w:pPr>
    </w:p>
    <w:p w14:paraId="627B8C94" w14:textId="56DD0028" w:rsidR="008F62B4" w:rsidRDefault="008F62B4" w:rsidP="00C03EAF">
      <w:pPr>
        <w:autoSpaceDE w:val="0"/>
        <w:autoSpaceDN w:val="0"/>
        <w:adjustRightInd w:val="0"/>
        <w:spacing w:after="0" w:line="240" w:lineRule="auto"/>
      </w:pPr>
      <w:r>
        <w:t xml:space="preserve">Figure grid_anc: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10B0B45C" w:rsidR="008F62B4" w:rsidRDefault="00D73D54" w:rsidP="00C03EAF">
      <w:pPr>
        <w:autoSpaceDE w:val="0"/>
        <w:autoSpaceDN w:val="0"/>
        <w:adjustRightInd w:val="0"/>
        <w:spacing w:after="0" w:line="240" w:lineRule="auto"/>
      </w:pPr>
      <w:r>
        <w:t xml:space="preserve">Figure indels: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1A545501" w:rsidR="00070031" w:rsidRDefault="00D67A52" w:rsidP="00C03EAF">
      <w:pPr>
        <w:autoSpaceDE w:val="0"/>
        <w:autoSpaceDN w:val="0"/>
        <w:adjustRightInd w:val="0"/>
        <w:spacing w:after="0" w:line="240" w:lineRule="auto"/>
      </w:pPr>
      <w:r>
        <w:t>Figure circo</w:t>
      </w:r>
      <w:r w:rsidR="00070031">
        <w:t xml:space="preserve">s: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Outer Ring</w:t>
      </w:r>
      <w:r w:rsidR="005E7892">
        <w:t xml:space="preserve">: gene gains (dark) and losses (light). </w:t>
      </w:r>
      <w:r w:rsidR="005E7892" w:rsidRPr="005E7892">
        <w:rPr>
          <w:b/>
        </w:rPr>
        <w:t>Middle Ring</w:t>
      </w:r>
      <w:r w:rsidR="005E7892" w:rsidRPr="005E7892">
        <w:t>:</w:t>
      </w:r>
      <w:r w:rsidR="005E7892">
        <w:t xml:space="preserve"> insertions</w:t>
      </w:r>
      <w:r w:rsidR="005E7892" w:rsidRPr="005E7892">
        <w:rPr>
          <w:i/>
        </w:rPr>
        <w:t xml:space="preserve">. </w:t>
      </w:r>
      <w:r w:rsidR="005E7892" w:rsidRPr="005E7892">
        <w:rPr>
          <w:b/>
        </w:rPr>
        <w:t>Inner Ring</w:t>
      </w:r>
      <w:r w:rsidR="005E7892" w:rsidRPr="005E7892">
        <w:t>:</w:t>
      </w:r>
      <w:r w:rsidR="005E7892">
        <w:t xml:space="preserve"> deletions. </w:t>
      </w:r>
    </w:p>
    <w:p w14:paraId="76C1B27D" w14:textId="77777777" w:rsidR="007D17C2" w:rsidRDefault="007D17C2" w:rsidP="00C03EAF">
      <w:pPr>
        <w:autoSpaceDE w:val="0"/>
        <w:autoSpaceDN w:val="0"/>
        <w:adjustRightInd w:val="0"/>
        <w:spacing w:after="0" w:line="240" w:lineRule="auto"/>
      </w:pPr>
    </w:p>
    <w:p w14:paraId="2A78172A" w14:textId="31CD0811" w:rsidR="006C2425" w:rsidRDefault="007D17C2" w:rsidP="00C03EAF">
      <w:pPr>
        <w:autoSpaceDE w:val="0"/>
        <w:autoSpaceDN w:val="0"/>
        <w:adjustRightInd w:val="0"/>
        <w:spacing w:after="0" w:line="240" w:lineRule="auto"/>
      </w:pPr>
      <w:r>
        <w:t xml:space="preserve">Figure Malvaceae Divergence: Distribution of synonymous substitution rates (dS) between 13,643 single copy orthologs between </w:t>
      </w:r>
      <w:r w:rsidRPr="007D17C2">
        <w:rPr>
          <w:i/>
        </w:rPr>
        <w:t xml:space="preserve">T. cacao </w:t>
      </w:r>
      <w:r w:rsidRPr="007D17C2">
        <w:t>and</w:t>
      </w:r>
      <w:r w:rsidRPr="007D17C2">
        <w:rPr>
          <w:i/>
        </w:rPr>
        <w:t xml:space="preserve"> G. raimondii</w:t>
      </w:r>
      <w:r>
        <w:t xml:space="preserve">. The median value of the distribution (0.4332) is marked by a vertical black line. </w:t>
      </w:r>
    </w:p>
    <w:p w14:paraId="21BB32BE" w14:textId="77777777" w:rsidR="006C2425" w:rsidRDefault="006C2425">
      <w:r>
        <w:br w:type="page"/>
      </w:r>
    </w:p>
    <w:p w14:paraId="16075177" w14:textId="6ABD8D7E" w:rsidR="0029324D" w:rsidRPr="006C2425" w:rsidRDefault="006C2425" w:rsidP="00C03EAF">
      <w:pPr>
        <w:autoSpaceDE w:val="0"/>
        <w:autoSpaceDN w:val="0"/>
        <w:adjustRightInd w:val="0"/>
        <w:spacing w:after="0" w:line="240" w:lineRule="auto"/>
        <w:rPr>
          <w:b/>
        </w:rPr>
      </w:pPr>
      <w:r>
        <w:rPr>
          <w:b/>
        </w:rPr>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8"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9"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20"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68C5DD5B" w:rsidR="0058003F" w:rsidRDefault="0029324D" w:rsidP="00C03EAF">
      <w:pPr>
        <w:autoSpaceDE w:val="0"/>
        <w:autoSpaceDN w:val="0"/>
        <w:adjustRightInd w:val="0"/>
        <w:spacing w:after="0" w:line="240" w:lineRule="auto"/>
      </w:pPr>
      <w:r>
        <w:fldChar w:fldCharType="end"/>
      </w:r>
    </w:p>
    <w:sectPr w:rsidR="005800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Wendel" w:date="2017-07-19T14:00:00Z" w:initials="jfw">
    <w:p w14:paraId="559B539F" w14:textId="72E7C02F" w:rsidR="0095490B" w:rsidRDefault="0095490B">
      <w:pPr>
        <w:pStyle w:val="CommentText"/>
      </w:pPr>
      <w:r>
        <w:rPr>
          <w:rStyle w:val="CommentReference"/>
        </w:rPr>
        <w:annotationRef/>
      </w:r>
      <w:r>
        <w:t>This usually means something else…  Hmm…  you know, genome-wide phylogenetics, whereas in reality we are using whole genome sequencing for many purposes.  I wonder if there is an alternative title that might get at this notion…</w:t>
      </w:r>
    </w:p>
    <w:p w14:paraId="3FC4D0AC" w14:textId="77777777" w:rsidR="0095490B" w:rsidRDefault="0095490B">
      <w:pPr>
        <w:pStyle w:val="CommentText"/>
      </w:pPr>
    </w:p>
    <w:p w14:paraId="7C862B3A" w14:textId="0B86F60A" w:rsidR="0095490B" w:rsidRDefault="0095490B">
      <w:pPr>
        <w:pStyle w:val="CommentText"/>
      </w:pPr>
      <w:r>
        <w:t>“Comparative genome sequencing and an unusual…”</w:t>
      </w:r>
    </w:p>
    <w:p w14:paraId="539999B9" w14:textId="77777777" w:rsidR="0095490B" w:rsidRDefault="0095490B">
      <w:pPr>
        <w:pStyle w:val="CommentText"/>
      </w:pPr>
    </w:p>
    <w:p w14:paraId="46AB41F9" w14:textId="330EB949" w:rsidR="0095490B" w:rsidRDefault="0095490B">
      <w:pPr>
        <w:pStyle w:val="CommentText"/>
      </w:pPr>
      <w:r>
        <w:t>Better?</w:t>
      </w:r>
    </w:p>
    <w:p w14:paraId="6061DF0B" w14:textId="77777777" w:rsidR="0095490B" w:rsidRDefault="0095490B">
      <w:pPr>
        <w:pStyle w:val="CommentText"/>
      </w:pPr>
    </w:p>
    <w:p w14:paraId="25B689E1" w14:textId="0123DFF8" w:rsidR="0095490B" w:rsidRDefault="0095490B">
      <w:pPr>
        <w:pStyle w:val="CommentText"/>
      </w:pPr>
      <w:r>
        <w:t>But, I am struck by the unexpected high relevance of this work to the issue of genome size evolution.  Hard to work into the title too, but we could try if you two also think that this is important.  OR we just make sure to emphasize this in the abstract.</w:t>
      </w:r>
    </w:p>
    <w:p w14:paraId="7A3E269E" w14:textId="77777777" w:rsidR="0095490B" w:rsidRDefault="0095490B">
      <w:pPr>
        <w:pStyle w:val="CommentText"/>
      </w:pPr>
    </w:p>
    <w:p w14:paraId="1DC84E3F" w14:textId="3BAA0C43" w:rsidR="0095490B" w:rsidRDefault="0095490B">
      <w:pPr>
        <w:pStyle w:val="CommentText"/>
      </w:pPr>
      <w:r>
        <w:t xml:space="preserve">Possible title, might get it into a higher class journal:  “Comparative genomics and genome downsizing in </w:t>
      </w:r>
      <w:r w:rsidRPr="002B1CA0">
        <w:rPr>
          <w:i/>
        </w:rPr>
        <w:t>Gossypioides</w:t>
      </w:r>
      <w:r>
        <w:t xml:space="preserve"> and </w:t>
      </w:r>
      <w:r w:rsidRPr="002B1CA0">
        <w:rPr>
          <w:i/>
        </w:rPr>
        <w:t>Kokia</w:t>
      </w:r>
      <w:r>
        <w:t>, the biogeographically disjunct closest relatives of the cotton genus (</w:t>
      </w:r>
      <w:r w:rsidRPr="002B1CA0">
        <w:rPr>
          <w:i/>
        </w:rPr>
        <w:t>Gossypium</w:t>
      </w:r>
      <w:r>
        <w:t>)”.</w:t>
      </w:r>
    </w:p>
  </w:comment>
  <w:comment w:id="1" w:author="Grover, Corrinne E [EEOBS]" w:date="2017-07-21T15:49:00Z" w:initials="GCE[">
    <w:p w14:paraId="2FE96AE1" w14:textId="50B3B6BA" w:rsidR="00577D3B" w:rsidRDefault="00577D3B">
      <w:pPr>
        <w:pStyle w:val="CommentText"/>
      </w:pPr>
      <w:r>
        <w:rPr>
          <w:rStyle w:val="CommentReference"/>
        </w:rPr>
        <w:annotationRef/>
      </w:r>
      <w:r>
        <w:t>I’m fine either way</w:t>
      </w:r>
    </w:p>
  </w:comment>
  <w:comment w:id="3" w:author="Grover, Corrinne E [EEOBS]" w:date="2017-07-14T10:42:00Z" w:initials="GCE[">
    <w:p w14:paraId="785E035D" w14:textId="3760F754" w:rsidR="0095490B" w:rsidRDefault="0095490B">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95490B" w:rsidRDefault="0095490B">
      <w:pPr>
        <w:pStyle w:val="CommentText"/>
      </w:pPr>
    </w:p>
    <w:p w14:paraId="3F35CFA3" w14:textId="794263A3" w:rsidR="0095490B" w:rsidRDefault="0095490B">
      <w:pPr>
        <w:pStyle w:val="CommentText"/>
      </w:pPr>
      <w:r>
        <w:t>It seems accepted that the Hawaiian archipelago is about 4-6myo; however, they are a part of the Hawaiian-Emperor seamount chain, which has experienced island birth and death and is composed of volcanoes ca 80 myo. Not part of the Hawaiian archipelago, but part of the broader Hawaiian islands (Northwestern HI, the Leeward Isles) is another part of the seamount chain that is 7-27myo and has a few surviving atolls.</w:t>
      </w:r>
    </w:p>
    <w:p w14:paraId="02F56B51" w14:textId="1C22A2B9" w:rsidR="0095490B" w:rsidRDefault="0095490B">
      <w:pPr>
        <w:pStyle w:val="CommentText"/>
      </w:pPr>
    </w:p>
    <w:p w14:paraId="77C951B2" w14:textId="5900C2FB" w:rsidR="0095490B" w:rsidRDefault="0095490B">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5" w:author="Jonathan Wendel" w:date="2017-07-19T14:07:00Z" w:initials="jfw">
    <w:p w14:paraId="7AF89915" w14:textId="6020CFD6" w:rsidR="0095490B" w:rsidRDefault="0095490B">
      <w:pPr>
        <w:pStyle w:val="CommentText"/>
      </w:pPr>
      <w:r>
        <w:rPr>
          <w:rStyle w:val="CommentReference"/>
        </w:rPr>
        <w:annotationRef/>
      </w:r>
      <w:r>
        <w:t>Broke up the paragraph long sentence.  Also, what is Flinders?  Let’s find a good biogeographic citation or two…</w:t>
      </w:r>
    </w:p>
    <w:p w14:paraId="4ADE18EE" w14:textId="38F4BDB2" w:rsidR="0095490B" w:rsidRDefault="0095490B">
      <w:pPr>
        <w:pStyle w:val="CommentText"/>
      </w:pPr>
      <w:r>
        <w:t>I will look, like I did for rates.</w:t>
      </w:r>
    </w:p>
  </w:comment>
  <w:comment w:id="6" w:author="Grover, Corrinne E [EEOBS]" w:date="2017-07-20T12:07:00Z" w:initials="GCE[">
    <w:p w14:paraId="1B5612DB" w14:textId="3D1C45F7" w:rsidR="0095490B" w:rsidRDefault="0095490B">
      <w:pPr>
        <w:pStyle w:val="CommentText"/>
      </w:pPr>
      <w:r>
        <w:rPr>
          <w:rStyle w:val="CommentReference"/>
        </w:rPr>
        <w:annotationRef/>
      </w:r>
      <w:r>
        <w:rPr>
          <w:rFonts w:ascii="Segoe UI" w:hAnsi="Segoe UI" w:cs="Segoe UI"/>
          <w:sz w:val="18"/>
          <w:szCs w:val="18"/>
        </w:rPr>
        <w:t>Gravity anomalies of the Northern Hawaiian Islands: Implications on the shield evolutions of Kauai and Niihau</w:t>
      </w:r>
    </w:p>
  </w:comment>
  <w:comment w:id="4" w:author="Wendel, Jonathan F [EEOBS]" w:date="2017-07-13T10:48:00Z" w:initials="WJF[">
    <w:p w14:paraId="1C35FAE6" w14:textId="3982D9F5" w:rsidR="0095490B" w:rsidRDefault="0095490B">
      <w:pPr>
        <w:pStyle w:val="CommentText"/>
      </w:pPr>
      <w:r>
        <w:rPr>
          <w:rStyle w:val="CommentReference"/>
        </w:rPr>
        <w:annotationRef/>
      </w:r>
      <w:r>
        <w:t>Need to investigate and give current estimates.  I recall that the older islands, now submerged, may be older than this, and that even Niihau and Kuaai are more than 3.4…  there is a big literature on this, but let’s find a good, recent, authoritative review.</w:t>
      </w:r>
    </w:p>
  </w:comment>
  <w:comment w:id="7" w:author="Grover, Corrinne E [EEOBS]" w:date="2017-05-02T09:46:00Z" w:initials="GCE[">
    <w:p w14:paraId="608A9245" w14:textId="4BE98BE3" w:rsidR="0095490B" w:rsidRDefault="0095490B">
      <w:pPr>
        <w:pStyle w:val="CommentText"/>
      </w:pPr>
      <w:r>
        <w:rPr>
          <w:rStyle w:val="CommentReference"/>
        </w:rPr>
        <w:annotationRef/>
      </w:r>
      <w:r>
        <w:t>Let’s get this all into github</w:t>
      </w:r>
    </w:p>
  </w:comment>
  <w:comment w:id="8" w:author="Jonathan Wendel" w:date="2017-07-19T14:52:00Z" w:initials="jfw">
    <w:p w14:paraId="04CD5C05" w14:textId="554FD660" w:rsidR="0095490B" w:rsidRDefault="0095490B">
      <w:pPr>
        <w:pStyle w:val="CommentText"/>
      </w:pPr>
      <w:r>
        <w:rPr>
          <w:rStyle w:val="CommentReference"/>
        </w:rPr>
        <w:annotationRef/>
      </w:r>
      <w:r>
        <w:rPr>
          <w:noProof/>
        </w:rPr>
        <w:t>My compliments to you, Justin, for being able to do this!  this is great -- I feel like we still need a better handle on the fossil story for Theobroma/Gossypium, but perhaps this is the best we can do at this time.</w:t>
      </w:r>
    </w:p>
  </w:comment>
  <w:comment w:id="9" w:author="Grover, Corrinne E [EEOBS]" w:date="2017-07-17T10:24:00Z" w:initials="GCE[">
    <w:p w14:paraId="76F88518" w14:textId="6FD9B63C" w:rsidR="0095490B" w:rsidRDefault="0095490B">
      <w:pPr>
        <w:pStyle w:val="CommentText"/>
      </w:pPr>
      <w:r>
        <w:rPr>
          <w:rStyle w:val="CommentReference"/>
        </w:rPr>
        <w:annotationRef/>
      </w:r>
      <w:r>
        <w:t>I haven’t numbered figures because renumbering figures is a pet peeve. Instead, I have named them. Please mark any figures that you want to see in supplemental as such. I will number at the end.</w:t>
      </w:r>
    </w:p>
  </w:comment>
  <w:comment w:id="10" w:author="Grover, Corrinne E [EEOBS]" w:date="2017-07-17T10:25:00Z" w:initials="GCE[">
    <w:p w14:paraId="0CE771F6" w14:textId="32FBF9CE" w:rsidR="0095490B" w:rsidRDefault="0095490B">
      <w:pPr>
        <w:pStyle w:val="CommentText"/>
      </w:pPr>
      <w:r>
        <w:rPr>
          <w:rStyle w:val="CommentReference"/>
        </w:rPr>
        <w:annotationRef/>
      </w:r>
      <w:r>
        <w:t>Supplemental</w:t>
      </w:r>
    </w:p>
  </w:comment>
  <w:comment w:id="11" w:author="Jonathan Wendel" w:date="2017-07-19T15:00:00Z" w:initials="jfw">
    <w:p w14:paraId="4ACC6AF9" w14:textId="24D2F537" w:rsidR="0095490B" w:rsidRDefault="0095490B">
      <w:pPr>
        <w:pStyle w:val="CommentText"/>
      </w:pPr>
      <w:r>
        <w:rPr>
          <w:rStyle w:val="CommentReference"/>
        </w:rPr>
        <w:annotationRef/>
      </w:r>
      <w:r>
        <w:t>This is such an extraordinary and important result!  We should make a big deal of this in the discussion; maybe think about changing the title too… maybe we should discuss this</w:t>
      </w:r>
    </w:p>
  </w:comment>
  <w:comment w:id="12" w:author="Jonathan Wendel" w:date="2017-07-19T15:08:00Z" w:initials="jfw">
    <w:p w14:paraId="3D412274" w14:textId="1DD3DF0B" w:rsidR="0095490B" w:rsidRDefault="0095490B">
      <w:pPr>
        <w:pStyle w:val="CommentText"/>
      </w:pPr>
      <w:r>
        <w:rPr>
          <w:rStyle w:val="CommentReference"/>
        </w:rPr>
        <w:annotationRef/>
      </w:r>
      <w:r>
        <w:t>In the spirit of continuing to gather evidence regarding gene number story above, I wonder if instead of excluding these, it might be worthwhile to analyze them – how many indicate greater number in Gossypium relative to the two island endemics?  One would predict many, give the gene story and genome size story.</w:t>
      </w:r>
    </w:p>
  </w:comment>
  <w:comment w:id="13" w:author="Jonathan Wendel" w:date="2017-07-19T15:10:00Z" w:initials="jfw">
    <w:p w14:paraId="59ED4FC6" w14:textId="091726D7" w:rsidR="0095490B" w:rsidRDefault="0095490B">
      <w:pPr>
        <w:pStyle w:val="CommentText"/>
      </w:pPr>
      <w:r>
        <w:rPr>
          <w:rStyle w:val="CommentReference"/>
        </w:rPr>
        <w:annotationRef/>
      </w:r>
      <w:r>
        <w:t>Another totally cool result – genome downsizing in action!</w:t>
      </w:r>
    </w:p>
  </w:comment>
  <w:comment w:id="14" w:author="Grover, Corrinne E [EEOBS]" w:date="2017-07-17T11:05:00Z" w:initials="GCE[">
    <w:p w14:paraId="37995EC0" w14:textId="50B8B662" w:rsidR="0095490B" w:rsidRDefault="0095490B">
      <w:pPr>
        <w:pStyle w:val="CommentText"/>
      </w:pPr>
      <w:r>
        <w:rPr>
          <w:rStyle w:val="CommentReference"/>
        </w:rPr>
        <w:annotationRef/>
      </w:r>
      <w:r>
        <w:t>Supplemental, I think</w:t>
      </w:r>
    </w:p>
  </w:comment>
  <w:comment w:id="15" w:author="Grover, Corrinne E [EEOBS]" w:date="2017-07-17T11:06:00Z" w:initials="GCE[">
    <w:p w14:paraId="5939A5CA" w14:textId="37EFF09B" w:rsidR="0095490B" w:rsidRDefault="0095490B">
      <w:pPr>
        <w:pStyle w:val="CommentText"/>
      </w:pPr>
      <w:r>
        <w:rPr>
          <w:rStyle w:val="CommentReference"/>
        </w:rPr>
        <w:annotationRef/>
      </w:r>
      <w:r>
        <w:t>Supplemental I think</w:t>
      </w:r>
    </w:p>
    <w:p w14:paraId="0AEE455A" w14:textId="77777777" w:rsidR="0095490B" w:rsidRDefault="0095490B">
      <w:pPr>
        <w:pStyle w:val="CommentText"/>
      </w:pPr>
    </w:p>
  </w:comment>
  <w:comment w:id="16" w:author="Grover, Corrinne E [EEOBS]" w:date="2017-07-17T11:05:00Z" w:initials="GCE[">
    <w:p w14:paraId="1C7C2370" w14:textId="3DBA8552" w:rsidR="0095490B" w:rsidRDefault="0095490B">
      <w:pPr>
        <w:pStyle w:val="CommentText"/>
      </w:pPr>
      <w:r>
        <w:rPr>
          <w:rStyle w:val="CommentReference"/>
        </w:rPr>
        <w:annotationRef/>
      </w:r>
      <w:r>
        <w:t>If the non-log version is preferred, we can use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C84E3F" w15:done="0"/>
  <w15:commentEx w15:paraId="2FE96AE1" w15:paraIdParent="1DC84E3F" w15:done="0"/>
  <w15:commentEx w15:paraId="77C951B2" w15:done="0"/>
  <w15:commentEx w15:paraId="4ADE18EE" w15:done="0"/>
  <w15:commentEx w15:paraId="1B5612DB" w15:paraIdParent="4ADE18EE" w15:done="0"/>
  <w15:commentEx w15:paraId="1C35FAE6" w15:done="0"/>
  <w15:commentEx w15:paraId="608A9245" w15:done="0"/>
  <w15:commentEx w15:paraId="04CD5C05" w15:done="0"/>
  <w15:commentEx w15:paraId="76F88518" w15:done="0"/>
  <w15:commentEx w15:paraId="0CE771F6" w15:done="0"/>
  <w15:commentEx w15:paraId="4ACC6AF9" w15:done="0"/>
  <w15:commentEx w15:paraId="3D412274" w15:done="0"/>
  <w15:commentEx w15:paraId="59ED4FC6" w15:done="0"/>
  <w15:commentEx w15:paraId="37995EC0" w15:done="0"/>
  <w15:commentEx w15:paraId="0AEE455A" w15:done="0"/>
  <w15:commentEx w15:paraId="1C7C23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2F95F" w14:textId="77777777" w:rsidR="0095490B" w:rsidRDefault="0095490B" w:rsidP="00B04AC1">
      <w:pPr>
        <w:spacing w:after="0" w:line="240" w:lineRule="auto"/>
      </w:pPr>
      <w:r>
        <w:separator/>
      </w:r>
    </w:p>
  </w:endnote>
  <w:endnote w:type="continuationSeparator" w:id="0">
    <w:p w14:paraId="288085D0" w14:textId="77777777" w:rsidR="0095490B" w:rsidRDefault="0095490B"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1104A" w14:textId="77777777" w:rsidR="0095490B" w:rsidRDefault="0095490B" w:rsidP="00B04AC1">
      <w:pPr>
        <w:spacing w:after="0" w:line="240" w:lineRule="auto"/>
      </w:pPr>
      <w:r>
        <w:separator/>
      </w:r>
    </w:p>
  </w:footnote>
  <w:footnote w:type="continuationSeparator" w:id="0">
    <w:p w14:paraId="5EE39252" w14:textId="77777777" w:rsidR="0095490B" w:rsidRDefault="0095490B"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Wendel">
    <w15:presenceInfo w15:providerId="None" w15:userId="Jonathan Wendel"/>
  </w15:person>
  <w15:person w15:author="Grover, Corrinne E [EEOBS]">
    <w15:presenceInfo w15:providerId="AD" w15:userId="S-1-5-21-1659004503-1450960922-1606980848-72816"/>
  </w15:person>
  <w15:person w15:author="Wendel, Jonathan F [EEOBS]">
    <w15:presenceInfo w15:providerId="AD" w15:userId="S-1-5-21-1659004503-1450960922-1606980848-7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47D9"/>
    <w:rsid w:val="000B64BB"/>
    <w:rsid w:val="000C2AB8"/>
    <w:rsid w:val="000C59AC"/>
    <w:rsid w:val="000D2ABF"/>
    <w:rsid w:val="000D61B6"/>
    <w:rsid w:val="000E0CD8"/>
    <w:rsid w:val="000E25A3"/>
    <w:rsid w:val="000E313A"/>
    <w:rsid w:val="000E432D"/>
    <w:rsid w:val="000E50F2"/>
    <w:rsid w:val="000E5256"/>
    <w:rsid w:val="00101150"/>
    <w:rsid w:val="00101FBC"/>
    <w:rsid w:val="00101FE1"/>
    <w:rsid w:val="001059AA"/>
    <w:rsid w:val="00113233"/>
    <w:rsid w:val="00113FDF"/>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41BF"/>
    <w:rsid w:val="00315614"/>
    <w:rsid w:val="00347AE2"/>
    <w:rsid w:val="003548BB"/>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4E3B"/>
    <w:rsid w:val="004B7B8A"/>
    <w:rsid w:val="004B7CF5"/>
    <w:rsid w:val="004C1A29"/>
    <w:rsid w:val="004D34CB"/>
    <w:rsid w:val="004D4684"/>
    <w:rsid w:val="004D6D7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E7892"/>
    <w:rsid w:val="005F0BA9"/>
    <w:rsid w:val="005F3038"/>
    <w:rsid w:val="005F7355"/>
    <w:rsid w:val="006004F3"/>
    <w:rsid w:val="0060105F"/>
    <w:rsid w:val="006075C9"/>
    <w:rsid w:val="00611C13"/>
    <w:rsid w:val="006134EC"/>
    <w:rsid w:val="006226C5"/>
    <w:rsid w:val="006249F5"/>
    <w:rsid w:val="00624C19"/>
    <w:rsid w:val="006259A8"/>
    <w:rsid w:val="006325AC"/>
    <w:rsid w:val="00633CE1"/>
    <w:rsid w:val="00634E5B"/>
    <w:rsid w:val="00643FEC"/>
    <w:rsid w:val="006446F7"/>
    <w:rsid w:val="006534FA"/>
    <w:rsid w:val="0065416E"/>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D702F"/>
    <w:rsid w:val="006E0CE9"/>
    <w:rsid w:val="006E3851"/>
    <w:rsid w:val="006F164D"/>
    <w:rsid w:val="00707B46"/>
    <w:rsid w:val="00713285"/>
    <w:rsid w:val="0072265B"/>
    <w:rsid w:val="007314BA"/>
    <w:rsid w:val="00742B97"/>
    <w:rsid w:val="0074396D"/>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51240"/>
    <w:rsid w:val="00953E24"/>
    <w:rsid w:val="0095490B"/>
    <w:rsid w:val="00961765"/>
    <w:rsid w:val="00973A4A"/>
    <w:rsid w:val="009829EC"/>
    <w:rsid w:val="00983911"/>
    <w:rsid w:val="009915C3"/>
    <w:rsid w:val="00992F04"/>
    <w:rsid w:val="0099556C"/>
    <w:rsid w:val="009961E8"/>
    <w:rsid w:val="009A067D"/>
    <w:rsid w:val="009A20AC"/>
    <w:rsid w:val="009A2CE7"/>
    <w:rsid w:val="009A4FCF"/>
    <w:rsid w:val="009A53E5"/>
    <w:rsid w:val="009B12B6"/>
    <w:rsid w:val="009B27AB"/>
    <w:rsid w:val="009B39AC"/>
    <w:rsid w:val="009B49B6"/>
    <w:rsid w:val="009C09A1"/>
    <w:rsid w:val="009C49DF"/>
    <w:rsid w:val="009C5893"/>
    <w:rsid w:val="009C622D"/>
    <w:rsid w:val="009C6A08"/>
    <w:rsid w:val="009C7C8B"/>
    <w:rsid w:val="009D56BC"/>
    <w:rsid w:val="009E0ABD"/>
    <w:rsid w:val="009E20B9"/>
    <w:rsid w:val="009E65C9"/>
    <w:rsid w:val="009E74BF"/>
    <w:rsid w:val="009F0873"/>
    <w:rsid w:val="009F4E29"/>
    <w:rsid w:val="00A00C45"/>
    <w:rsid w:val="00A01D2E"/>
    <w:rsid w:val="00A05C2A"/>
    <w:rsid w:val="00A06560"/>
    <w:rsid w:val="00A06AC5"/>
    <w:rsid w:val="00A119F6"/>
    <w:rsid w:val="00A205DD"/>
    <w:rsid w:val="00A227DD"/>
    <w:rsid w:val="00A22A3C"/>
    <w:rsid w:val="00A234E6"/>
    <w:rsid w:val="00A245C9"/>
    <w:rsid w:val="00A273FC"/>
    <w:rsid w:val="00A352F5"/>
    <w:rsid w:val="00A379D3"/>
    <w:rsid w:val="00A41765"/>
    <w:rsid w:val="00A51DD4"/>
    <w:rsid w:val="00A6074C"/>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46AF6"/>
    <w:rsid w:val="00B5165F"/>
    <w:rsid w:val="00B66A8B"/>
    <w:rsid w:val="00B803F5"/>
    <w:rsid w:val="00B915D9"/>
    <w:rsid w:val="00BA2CAA"/>
    <w:rsid w:val="00BA749E"/>
    <w:rsid w:val="00BA7D1F"/>
    <w:rsid w:val="00BB0A33"/>
    <w:rsid w:val="00BB4613"/>
    <w:rsid w:val="00BC213F"/>
    <w:rsid w:val="00BC520F"/>
    <w:rsid w:val="00BC618D"/>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D06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47DA9"/>
    <w:rsid w:val="00F510C0"/>
    <w:rsid w:val="00F514F4"/>
    <w:rsid w:val="00F533B0"/>
    <w:rsid w:val="00F5717F"/>
    <w:rsid w:val="00F625FA"/>
    <w:rsid w:val="00F62657"/>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hyperlink" Target="http://www.fws.gov/pacificislands/flora/koki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researchit.las.iastate.edu/" TargetMode="External"/><Relationship Id="rId2" Type="http://schemas.openxmlformats.org/officeDocument/2006/relationships/numbering" Target="numbering.xml"/><Relationship Id="rId16" Type="http://schemas.openxmlformats.org/officeDocument/2006/relationships/hyperlink" Target="https://github.com/Wendellab/KokiaKirkii" TargetMode="External"/><Relationship Id="rId20"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rrinne\AppData\Local\Microsoft\Windows\INetCache\Content.Outlook\BJV9K5HR\www.timetree.org"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23" Type="http://schemas.openxmlformats.org/officeDocument/2006/relationships/theme" Target="theme/theme1.xml"/><Relationship Id="rId10" Type="http://schemas.openxmlformats.org/officeDocument/2006/relationships/hyperlink" Target="https://github.com/Wendellab/KokiaKirkii" TargetMode="External"/><Relationship Id="rId19" Type="http://schemas.openxmlformats.org/officeDocument/2006/relationships/hyperlink" Target="http://www.repeatmasker.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2554-E215-4546-A40B-9465DF47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22</Pages>
  <Words>21775</Words>
  <Characters>124122</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19</cp:revision>
  <dcterms:created xsi:type="dcterms:W3CDTF">2017-07-20T17:33:00Z</dcterms:created>
  <dcterms:modified xsi:type="dcterms:W3CDTF">2017-07-21T21:00:00Z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