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dcdcdc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Debezium</w:t>
      </w:r>
      <w:r w:rsidDel="00000000" w:rsidR="00000000" w:rsidRPr="00000000">
        <w:rPr>
          <w:rtl w:val="0"/>
        </w:rPr>
        <w:t xml:space="preserve"> </w:t>
        <w:br w:type="textWrapping"/>
        <w:br w:type="textWrapping"/>
        <w:t xml:space="preserve">O </w:t>
      </w:r>
      <w:r w:rsidDel="00000000" w:rsidR="00000000" w:rsidRPr="00000000">
        <w:rPr>
          <w:b w:val="1"/>
          <w:rtl w:val="0"/>
        </w:rPr>
        <w:t xml:space="preserve">Debezium</w:t>
      </w:r>
      <w:r w:rsidDel="00000000" w:rsidR="00000000" w:rsidRPr="00000000">
        <w:rPr>
          <w:rtl w:val="0"/>
        </w:rPr>
        <w:t xml:space="preserve"> é uma ferramenta de captura de dados em tempo real (CDC - Change Data Capture) desenvolvida pela Red Hat, projetada para monitorar mudanças em bancos de dados e transmitir essas alterações para outras aplicações ou sistemas.</w:t>
        <w:br w:type="textWrapping"/>
        <w:br w:type="textWrapping"/>
        <w:t xml:space="preserve">Ele funciona identificando operações de inserção, atualização e exclusão nos bancos de dados e pública essas mudanças em tópicos do Kafka. Dessa forma, as aplicações podem consumir os eventos de dados atualizados quase em tempo real, sem impacto direto no banco de dados original.</w:t>
        <w:br w:type="textWrapping"/>
        <w:br w:type="textWrapping"/>
        <w:t xml:space="preserve">Configuração do Debezium:</w:t>
        <w:br w:type="textWrapping"/>
        <w:br w:type="textWrapping"/>
        <w:t xml:space="preserve">O debezium utiliza conectores (libs .jar) para se conectar ao banco e fazer a captura dos eventos, esse conectores são configurados via chamada http ao endpoint que é disponibilizado pelo debezium assim que ele inicia. </w:t>
        <w:br w:type="textWrapping"/>
        <w:br w:type="textWrapping"/>
        <w:t xml:space="preserve">POST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shd w:fill="212121" w:val="clear"/>
            <w:rtl w:val="0"/>
          </w:rPr>
          <w:t xml:space="preserve">http://localhost:8083/connectors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No corpo da requisição passamos um json para indicar as configurações de conexão com o banco de dados e com o kafka:</w:t>
        <w:br w:type="textWrapping"/>
        <w:br w:type="textWrapping"/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"oracle-connector"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"config"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"connector.class"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"io.debezium.connector.oracle.OracleConnector"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"database.hostname"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"oracle-db-poc"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"database.port"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"1521"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"database.user"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"system"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"database.password"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"senha123"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"database.dbname"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"XE"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"database.pdb.name"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"XEPDB1"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"database.server.name"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"oracle"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"database.history.kafka.bootstrap.servers"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"kafka-poc:9092"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"database.history.kafka.topic"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"schema-changes.oracle"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"schema.history.internal.kafka.bootstrap.servers"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"kafka-poc:9092"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"schema.history.internal.kafka.topic"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"schema-changes.oracle"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"include.schema.changes"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"true"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"table.include.list"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"dcn_user.teste"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"topic.prefix"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"db-logs-2"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"database.oracle.version"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"21"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Solução com debezium: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Requisitos do banco de dados e permissões</w:t>
        <w:br w:type="textWrapping"/>
        <w:br w:type="textWrapping"/>
        <w:t xml:space="preserve">Ativar modo de arquivamento</w:t>
        <w:br w:type="textWrapping"/>
        <w:t xml:space="preserve">ALTER DATABASE ARCHIVELOG;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t xml:space="preserve">Configurar o LogMiner</w:t>
        <w:br w:type="textWrapping"/>
        <w:t xml:space="preserve">ALTER DATABASE ADD SUPPLEMENTAL LOG DATA;</w:t>
        <w:br w:type="textWrapping"/>
        <w:br w:type="textWrapping"/>
        <w:t xml:space="preserve">Permissão para o usuário do banco consultar os logs de transação: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GRANT SELECT ANY TRANSACTION TO &lt;USUARIO&gt;;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Permissão para acessar as tabelas de metadados e logs: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GRANT SELECT ON V_$DATABASE TO &lt;USUARIO&gt;;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GRANT SELECT ON V_$LOGMNR_CONTENTS TO &lt;USUARIO&gt;;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GRANT SELECT ON V_$LOG TO &lt;USUARIO&gt;;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GRANT SELECT ON V_$LOGFILE TO &lt;USUARIO&gt;;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GRANT SELECT ON V_$ARCHIVED_LOG TO &lt;USUARIO&gt;;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GRANT SELECT ON V_$PARAMETER TO &lt;USUARIO&gt;;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GRANT SELECT ON V_$NLS_PARAMETERS TO &lt;USUARIO&gt;;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GRANT SELECT ON V_$THREAD TO &lt;USUARIO&gt;;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GRANT SELECT ON V_$TRANSACTION TO &lt;USUARIO&gt;;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GRANT SELECT ON V_$LOG_HISTORY TO &lt;USUARIO&gt;;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Permissão para usar o LogMiner: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GRANT EXECUTE_CATALOG_ROLE TO &lt;USUARIO&gt;;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GRANT SELECT_CATALOG_ROLE TO &lt;USUARIO&gt;;</w:t>
        <w:br w:type="textWrapping"/>
        <w:br w:type="textWrapping"/>
        <w:t xml:space="preserve">Permissão para executar PL/SQL no LogMiner:</w:t>
        <w:br w:type="textWrapping"/>
        <w:t xml:space="preserve">GRANT EXECUTE ON DBMS_LOGMNR TO &lt;USUARIO&gt;;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GRANT EXECUTE ON DBMS_LOGMNR_D TO &lt;USUARIO&gt;;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Permissão de leitura para tabela configurada no conector: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GRANT SELECT ON &lt;ESQUEMA&gt;.&lt;TABELA&gt; TO &lt;USUARIO&gt;;</w:t>
        <w:br w:type="textWrapping"/>
        <w:br w:type="textWrapping"/>
        <w:br w:type="textWrapping"/>
        <w:t xml:space="preserve">Referências: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https://docs.redhat.com/en/documentation/red_hat_build_of_debezium/2.3.7/html-single/debezium_user_guide/index#debezium-connector-for-oracle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https://debezium.io/releases/3.0/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3/connector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redhat.com/en/documentation/red_hat_build_of_debezium/2.3.7/html-single/debezium_user_guide/index#debezium-connector-for-ora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