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C.R.A.F.T science communication framework by Dr. Meena Balgopal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Set the message </w:t>
      </w:r>
    </w:p>
    <w:p w:rsidR="00000000" w:rsidDel="00000000" w:rsidP="00000000" w:rsidRDefault="00000000" w:rsidRPr="00000000" w14:paraId="00000004">
      <w:pPr>
        <w:rPr>
          <w:i w:val="1"/>
        </w:rPr>
      </w:pPr>
      <w:r w:rsidDel="00000000" w:rsidR="00000000" w:rsidRPr="00000000">
        <w:rPr>
          <w:rtl w:val="0"/>
        </w:rPr>
        <w:t xml:space="preserve">The ecological conditions of the place we love are changing rapidly and understanding the implications of what's to come requires knowing what we have now. </w:t>
      </w:r>
      <w:r w:rsidDel="00000000" w:rsidR="00000000" w:rsidRPr="00000000">
        <w:rPr>
          <w:i w:val="1"/>
          <w:rtl w:val="0"/>
        </w:rPr>
        <w:t xml:space="preserve">Work on this too sciency at the moment, </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pPr>
      <w:r w:rsidDel="00000000" w:rsidR="00000000" w:rsidRPr="00000000">
        <w:rPr>
          <w:i w:val="1"/>
          <w:rtl w:val="0"/>
        </w:rPr>
        <w:t xml:space="preserve">2. </w:t>
      </w:r>
      <w:r w:rsidDel="00000000" w:rsidR="00000000" w:rsidRPr="00000000">
        <w:rPr>
          <w:rtl w:val="0"/>
        </w:rPr>
        <w:t xml:space="preserve">Set the frame of the story.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Scientific uncertainty </w:t>
      </w:r>
    </w:p>
    <w:p w:rsidR="00000000" w:rsidDel="00000000" w:rsidP="00000000" w:rsidRDefault="00000000" w:rsidRPr="00000000" w14:paraId="00000008">
      <w:pPr>
        <w:ind w:left="0" w:firstLine="0"/>
        <w:rPr/>
      </w:pPr>
      <w:r w:rsidDel="00000000" w:rsidR="00000000" w:rsidRPr="00000000">
        <w:rPr>
          <w:rtl w:val="0"/>
        </w:rPr>
        <w:t xml:space="preserve">What’s certain is the Aspen forest in Colorado are experiencing rapid decline in the number of mature living tree across their current range. Due in part to increased temperature and prolonged drought conditions. We understand the current situation but we want to also be prepared for what's coming. The expected increase in average temperature and changes to hydrological systems are likely to put extra pressure and alter the expect habitat range of the species. </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Ethical Right </w:t>
      </w:r>
    </w:p>
    <w:p w:rsidR="00000000" w:rsidDel="00000000" w:rsidP="00000000" w:rsidRDefault="00000000" w:rsidRPr="00000000" w14:paraId="0000000A">
      <w:pPr>
        <w:ind w:left="0" w:firstLine="0"/>
        <w:rPr/>
      </w:pPr>
      <w:r w:rsidDel="00000000" w:rsidR="00000000" w:rsidRPr="00000000">
        <w:rPr>
          <w:rtl w:val="0"/>
        </w:rPr>
        <w:t xml:space="preserve">Due impart to their beautiful fall colors aspens are a part of the cultural identity of Colorado and other western states. This is the feature that brings out enthusiast and families a like to experience the mountainous environments. It is these experience that generate citizen who care for the landscape. It is likely that taking to trip to see the white and gold tree is something those indivudal what to share with future generations.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3. Story Theme</w:t>
      </w:r>
    </w:p>
    <w:p w:rsidR="00000000" w:rsidDel="00000000" w:rsidP="00000000" w:rsidRDefault="00000000" w:rsidRPr="00000000" w14:paraId="0000000D">
      <w:pPr>
        <w:ind w:left="0" w:firstLine="0"/>
        <w:rPr/>
      </w:pPr>
      <w:r w:rsidDel="00000000" w:rsidR="00000000" w:rsidRPr="00000000">
        <w:rPr>
          <w:rtl w:val="0"/>
        </w:rPr>
        <w:t xml:space="preserve">Overcoming the Monster: This is a perfect frame for this type of problem. Basically the monster is sudden aspen death. It’s a clear and distinct problem and has only recently been identified and it still not full understood. The truth is that we want aspens in our state and we to work to overcome this  </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Events </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SAD appears: this sets the overcoming the monster by introducing Sudden Aspen Death as the monster. Pictures of the process and maps of the current known extent </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Current efforts: Spend time highlighting the work and processes currently done. There does not appear to be a regional scale monitoring process occuring so it help build the need.  </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Future effort( our work within the process) : this is where we come in.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Characters</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Aspens: lots of picture </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Federal and state agencies: try to give credit to the existing work  </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Audience : individuals in the workshop have the opportunity to contribute to the process. </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conflict/resolution </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How to deal with climate change: after introducing SAD I want to show some predicted habitat distributions based on the seedlot selection tool. The ideas is if heat and drought are causing SAD we </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Idea of SSI - climate change, assisted migration: I want to bring up what I think Might be the contested issue of assisted migration to pull out some emotional buy in. I don’t what to express an opinion but it does help identify the need for action. </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causality /agency </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We can use freely available tools and software to help understand the process.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Checking back with CRAFT.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Audience</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Research scientist, ecology background, interested in  processes at a large scale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Take home message </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Remote sensing and ecological modeling plays an import role in understanding the long term changes that we are experiencing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Format </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Short introduction via presentation. Tie in back to the story throughout but really it’s just for the initial emotional response.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Relevancy</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We’re teaching you this process so you can implement it with the species or ecosystem that you find dear.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Creative </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Blending transition between workshop process with the narrative elements.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